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14F5CB6" w:rsidR="00287170" w:rsidRDefault="00250661">
      <w:r w:rsidRPr="00250661">
        <w:rPr>
          <w:rFonts w:ascii="Aptos" w:eastAsia="Aptos" w:hAnsi="Aptos" w:cs="Times New Roman"/>
          <w:noProof/>
          <w:kern w:val="2"/>
          <w:lang w:eastAsia="en-US"/>
          <w14:ligatures w14:val="standardContextual"/>
        </w:rPr>
        <w:drawing>
          <wp:inline distT="0" distB="0" distL="0" distR="0" wp14:anchorId="6CA485E2" wp14:editId="2405EB2D">
            <wp:extent cx="5731510" cy="763270"/>
            <wp:effectExtent l="0" t="0" r="2540" b="0"/>
            <wp:docPr id="1" name="Picture 1" descr="A green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2551" w14:textId="77777777" w:rsidR="00250661" w:rsidRPr="00250661" w:rsidRDefault="00250661" w:rsidP="00250661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250661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 xml:space="preserve">TORBAY SEND LOCAL AREA IMPROVEMENT PARTNERSHIP BOARD (SLAIP) </w:t>
      </w:r>
    </w:p>
    <w:p w14:paraId="2C455BFC" w14:textId="2692ED0D" w:rsidR="00250661" w:rsidRPr="00250661" w:rsidRDefault="00250661" w:rsidP="00250661">
      <w:pPr>
        <w:spacing w:line="278" w:lineRule="auto"/>
        <w:jc w:val="center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250661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 xml:space="preserve">PUBLISHED MINUTES – </w:t>
      </w:r>
      <w:r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APRIL 2026</w:t>
      </w:r>
    </w:p>
    <w:p w14:paraId="7BE697ED" w14:textId="1C48A5B7" w:rsidR="00250661" w:rsidRPr="00250661" w:rsidRDefault="00250661" w:rsidP="00250661">
      <w:pPr>
        <w:spacing w:line="278" w:lineRule="auto"/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</w:pPr>
      <w:r w:rsidRPr="00250661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 xml:space="preserve">Date: </w:t>
      </w:r>
      <w:r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1</w:t>
      </w:r>
      <w:r w:rsidRPr="00250661">
        <w:rPr>
          <w:rFonts w:ascii="Aptos" w:eastAsia="Aptos" w:hAnsi="Aptos" w:cs="Times New Roman"/>
          <w:b/>
          <w:bCs/>
          <w:kern w:val="2"/>
          <w:vertAlign w:val="superscript"/>
          <w:lang w:eastAsia="en-US"/>
          <w14:ligatures w14:val="standardContextual"/>
        </w:rPr>
        <w:t>st</w:t>
      </w:r>
      <w:r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 xml:space="preserve"> April 2026</w:t>
      </w:r>
      <w:r w:rsidRPr="00250661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br/>
        <w:t>Time: 1</w:t>
      </w:r>
      <w:r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t>0.00-12.30pm</w:t>
      </w:r>
      <w:r w:rsidRPr="00250661">
        <w:rPr>
          <w:rFonts w:ascii="Aptos" w:eastAsia="Aptos" w:hAnsi="Aptos" w:cs="Times New Roman"/>
          <w:b/>
          <w:bCs/>
          <w:kern w:val="2"/>
          <w:lang w:eastAsia="en-US"/>
          <w14:ligatures w14:val="standardContextual"/>
        </w:rPr>
        <w:br/>
        <w:t>Location: Virtual</w:t>
      </w:r>
    </w:p>
    <w:p w14:paraId="5605D484" w14:textId="77777777" w:rsidR="0003123D" w:rsidRPr="0003123D" w:rsidRDefault="00000000" w:rsidP="0003123D">
      <w:pPr>
        <w:rPr>
          <w:b/>
          <w:bCs/>
        </w:rPr>
      </w:pPr>
      <w:r>
        <w:rPr>
          <w:b/>
          <w:bCs/>
        </w:rPr>
        <w:pict w14:anchorId="658F34FE">
          <v:rect id="_x0000_i1025" style="width:0;height:1.5pt" o:hralign="center" o:hrstd="t" o:hr="t" fillcolor="#a0a0a0" stroked="f"/>
        </w:pict>
      </w:r>
    </w:p>
    <w:p w14:paraId="38B6BDD8" w14:textId="77777777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>1. Introduction and Apologies – Chair</w:t>
      </w:r>
    </w:p>
    <w:p w14:paraId="25635F2A" w14:textId="0E58E9C3" w:rsidR="0003123D" w:rsidRPr="0003123D" w:rsidRDefault="00250661" w:rsidP="0003123D">
      <w:r>
        <w:t>The Chair</w:t>
      </w:r>
      <w:r w:rsidR="0003123D" w:rsidRPr="0003123D">
        <w:t xml:space="preserve"> opened the meeting, welcomed members and thanked partners for continued engagement during a period of significant system pressure.</w:t>
      </w:r>
    </w:p>
    <w:p w14:paraId="3B0E2AB0" w14:textId="77777777" w:rsidR="00250661" w:rsidRDefault="00250661" w:rsidP="00250661">
      <w:pPr>
        <w:pStyle w:val="ListParagraph"/>
        <w:numPr>
          <w:ilvl w:val="0"/>
          <w:numId w:val="41"/>
        </w:numPr>
      </w:pPr>
      <w:r>
        <w:t xml:space="preserve">The new </w:t>
      </w:r>
      <w:r w:rsidR="0003123D" w:rsidRPr="0003123D">
        <w:t>SEND Programme Manager</w:t>
      </w:r>
      <w:r>
        <w:t xml:space="preserve"> was welcomed </w:t>
      </w:r>
    </w:p>
    <w:p w14:paraId="03686AE9" w14:textId="4F4F94D9" w:rsidR="0003123D" w:rsidRPr="0003123D" w:rsidRDefault="0003123D" w:rsidP="00250661">
      <w:pPr>
        <w:pStyle w:val="ListParagraph"/>
        <w:numPr>
          <w:ilvl w:val="0"/>
          <w:numId w:val="41"/>
        </w:numPr>
      </w:pPr>
      <w:r w:rsidRPr="0003123D">
        <w:t xml:space="preserve">Apologies </w:t>
      </w:r>
      <w:r w:rsidR="00250661">
        <w:t xml:space="preserve">were given </w:t>
      </w:r>
    </w:p>
    <w:p w14:paraId="3C8F7FFE" w14:textId="5CB81BB0" w:rsidR="0003123D" w:rsidRPr="0003123D" w:rsidRDefault="0003123D" w:rsidP="0003123D">
      <w:pPr>
        <w:rPr>
          <w:b/>
          <w:bCs/>
        </w:rPr>
      </w:pPr>
    </w:p>
    <w:p w14:paraId="682E0B50" w14:textId="3B95F435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2. Minutes and Actions </w:t>
      </w:r>
    </w:p>
    <w:p w14:paraId="24B45445" w14:textId="77777777" w:rsidR="0003123D" w:rsidRPr="0003123D" w:rsidRDefault="0003123D" w:rsidP="0003123D">
      <w:r w:rsidRPr="0003123D">
        <w:t>The Board approved the minutes of the previous meeting as an accurate record.</w:t>
      </w:r>
    </w:p>
    <w:p w14:paraId="003F7D86" w14:textId="671087F3" w:rsidR="0003123D" w:rsidRPr="0003123D" w:rsidRDefault="00250661" w:rsidP="00DD629B">
      <w:r>
        <w:t>The Chair</w:t>
      </w:r>
      <w:r w:rsidR="0003123D" w:rsidRPr="0003123D">
        <w:t xml:space="preserve"> reminded members that:</w:t>
      </w:r>
    </w:p>
    <w:p w14:paraId="065CAE31" w14:textId="3641D408" w:rsidR="00DD629B" w:rsidRPr="0003123D" w:rsidRDefault="007A75A8" w:rsidP="009A5238">
      <w:pPr>
        <w:pStyle w:val="ListParagraph"/>
        <w:numPr>
          <w:ilvl w:val="0"/>
          <w:numId w:val="21"/>
        </w:numPr>
      </w:pPr>
      <w:r>
        <w:t>Minutes continue to be made public, with names redacted</w:t>
      </w:r>
    </w:p>
    <w:p w14:paraId="6690CD46" w14:textId="77777777" w:rsidR="007F2D6B" w:rsidRDefault="0003123D" w:rsidP="0003123D">
      <w:pPr>
        <w:numPr>
          <w:ilvl w:val="0"/>
          <w:numId w:val="3"/>
        </w:numPr>
      </w:pPr>
      <w:r w:rsidRPr="0003123D">
        <w:t>Content remains unchanged to ensure transparency and accountability</w:t>
      </w:r>
    </w:p>
    <w:p w14:paraId="2518DC60" w14:textId="60BD9EA0" w:rsidR="0003123D" w:rsidRPr="00372D9B" w:rsidRDefault="0003123D" w:rsidP="00250661">
      <w:pPr>
        <w:ind w:left="360"/>
      </w:pPr>
      <w:r w:rsidRPr="00BE43AD">
        <w:rPr>
          <w:b/>
        </w:rPr>
        <w:t>Action tracker update</w:t>
      </w:r>
    </w:p>
    <w:p w14:paraId="45CB0C04" w14:textId="2CF7DAE4" w:rsidR="0003123D" w:rsidRPr="0003123D" w:rsidRDefault="00250661" w:rsidP="0003123D">
      <w:r>
        <w:t xml:space="preserve">The Chair </w:t>
      </w:r>
      <w:r w:rsidR="0003123D" w:rsidRPr="0003123D">
        <w:t>provided an overview of the action tracker.</w:t>
      </w:r>
    </w:p>
    <w:p w14:paraId="1998D7B0" w14:textId="77777777" w:rsidR="0003123D" w:rsidRPr="0003123D" w:rsidRDefault="0003123D" w:rsidP="0003123D">
      <w:r w:rsidRPr="0003123D">
        <w:t>The Board noted:</w:t>
      </w:r>
    </w:p>
    <w:p w14:paraId="17973370" w14:textId="4912D719" w:rsidR="0003123D" w:rsidRPr="0003123D" w:rsidRDefault="001E1770" w:rsidP="00265E1D">
      <w:pPr>
        <w:numPr>
          <w:ilvl w:val="0"/>
          <w:numId w:val="4"/>
        </w:numPr>
      </w:pPr>
      <w:r w:rsidRPr="0003123D">
        <w:t>M</w:t>
      </w:r>
      <w:r>
        <w:t>any</w:t>
      </w:r>
      <w:r w:rsidR="0003123D" w:rsidRPr="0003123D">
        <w:t xml:space="preserve"> actions remain Amber, reflecting active delivery.</w:t>
      </w:r>
    </w:p>
    <w:p w14:paraId="084FF6C7" w14:textId="3AB58CAD" w:rsidR="0003123D" w:rsidRPr="0003123D" w:rsidRDefault="0003123D" w:rsidP="00265E1D">
      <w:pPr>
        <w:numPr>
          <w:ilvl w:val="0"/>
          <w:numId w:val="4"/>
        </w:numPr>
      </w:pPr>
      <w:r w:rsidRPr="0003123D">
        <w:t xml:space="preserve">Several actions remain open due to national policy dependency and </w:t>
      </w:r>
      <w:r w:rsidR="00035D04">
        <w:t xml:space="preserve">inter-connected actions </w:t>
      </w:r>
      <w:r w:rsidRPr="0003123D">
        <w:t>rather than lack of progress.</w:t>
      </w:r>
    </w:p>
    <w:p w14:paraId="2F6896F3" w14:textId="77777777" w:rsidR="00026A91" w:rsidRPr="003140C2" w:rsidRDefault="00026A91" w:rsidP="003140C2">
      <w:pPr>
        <w:ind w:firstLine="360"/>
        <w:rPr>
          <w:b/>
        </w:rPr>
      </w:pPr>
      <w:r w:rsidRPr="003140C2">
        <w:rPr>
          <w:b/>
        </w:rPr>
        <w:t>Update on the Communication Action Required</w:t>
      </w:r>
    </w:p>
    <w:p w14:paraId="5A73B288" w14:textId="7CA8E9BA" w:rsidR="00026A91" w:rsidRPr="003140C2" w:rsidRDefault="00026A91" w:rsidP="003140C2">
      <w:pPr>
        <w:ind w:left="360"/>
      </w:pPr>
      <w:r>
        <w:t xml:space="preserve">The Board received an update on progress against the agreed communications actions following concerns raised at previous meetings regarding consistency, timeliness and tone of </w:t>
      </w:r>
      <w:r w:rsidR="17812312">
        <w:t>SEND related</w:t>
      </w:r>
      <w:r>
        <w:t xml:space="preserve"> communications.</w:t>
      </w:r>
    </w:p>
    <w:p w14:paraId="2394E579" w14:textId="77777777" w:rsidR="00026A91" w:rsidRPr="003140C2" w:rsidRDefault="00026A91" w:rsidP="003140C2">
      <w:pPr>
        <w:ind w:firstLine="360"/>
        <w:rPr>
          <w:b/>
        </w:rPr>
      </w:pPr>
      <w:r w:rsidRPr="003140C2">
        <w:rPr>
          <w:b/>
        </w:rPr>
        <w:lastRenderedPageBreak/>
        <w:t>Progress to date</w:t>
      </w:r>
    </w:p>
    <w:p w14:paraId="2234132C" w14:textId="77777777" w:rsidR="00026A91" w:rsidRPr="003140C2" w:rsidRDefault="00026A91" w:rsidP="00250661">
      <w:pPr>
        <w:ind w:firstLine="360"/>
      </w:pPr>
      <w:r w:rsidRPr="003140C2">
        <w:t>The Board noted the following improvements since the last meeting:</w:t>
      </w:r>
    </w:p>
    <w:p w14:paraId="42D04C03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Increased proactive communications activity, including more regular use of social media channels.</w:t>
      </w:r>
    </w:p>
    <w:p w14:paraId="4C00DE70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Early indications of improved engagement and tone, with fewer immediate negative responses online.</w:t>
      </w:r>
    </w:p>
    <w:p w14:paraId="5862563D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Establishment of communications sub</w:t>
      </w:r>
      <w:r w:rsidRPr="003140C2">
        <w:noBreakHyphen/>
        <w:t>groups (editorial and strategic) to strengthen coordination and prioritisation.</w:t>
      </w:r>
    </w:p>
    <w:p w14:paraId="4F933D0C" w14:textId="79BD49E7" w:rsidR="00026A91" w:rsidRPr="003140C2" w:rsidRDefault="00CF39C0" w:rsidP="00026A91">
      <w:pPr>
        <w:numPr>
          <w:ilvl w:val="0"/>
          <w:numId w:val="4"/>
        </w:numPr>
      </w:pPr>
      <w:r w:rsidRPr="003140C2">
        <w:t>Early p</w:t>
      </w:r>
      <w:r w:rsidR="00026A91" w:rsidRPr="003140C2">
        <w:t>ositive feedback from partners and parent representatives that messaging is becoming more visible and accessible.</w:t>
      </w:r>
    </w:p>
    <w:p w14:paraId="4F947358" w14:textId="77777777" w:rsidR="00026A91" w:rsidRPr="003140C2" w:rsidRDefault="00026A91" w:rsidP="003140C2">
      <w:pPr>
        <w:ind w:left="360"/>
        <w:rPr>
          <w:b/>
        </w:rPr>
      </w:pPr>
      <w:r w:rsidRPr="003140C2">
        <w:rPr>
          <w:b/>
        </w:rPr>
        <w:t>Ongoing issues and risks</w:t>
      </w:r>
    </w:p>
    <w:p w14:paraId="0D19CA71" w14:textId="77777777" w:rsidR="00026A91" w:rsidRPr="003140C2" w:rsidRDefault="00026A91" w:rsidP="003140C2">
      <w:pPr>
        <w:ind w:firstLine="360"/>
      </w:pPr>
      <w:r w:rsidRPr="003140C2">
        <w:t>The Board acknowledged that:</w:t>
      </w:r>
    </w:p>
    <w:p w14:paraId="317811DD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Communications remain inconsistent across parts of the system, particularly between education, health and local authority services.</w:t>
      </w:r>
    </w:p>
    <w:p w14:paraId="665229B1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There is continued reliance on individual teams rather than a fully embedded system</w:t>
      </w:r>
      <w:r w:rsidRPr="003140C2">
        <w:noBreakHyphen/>
        <w:t>wide approach.</w:t>
      </w:r>
    </w:p>
    <w:p w14:paraId="79166668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Partner engagement is variable, with some organisations not yet contributing content or responding to requests in a timely way.</w:t>
      </w:r>
    </w:p>
    <w:p w14:paraId="6B638E54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Communications capacity is under pressure, particularly in the context of SEND reform activity and rising demand.</w:t>
      </w:r>
    </w:p>
    <w:p w14:paraId="655811BE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The Board emphasised that improved communication is a critical enabling factor for rebuilding trust with families and supporting SEND reform delivery.</w:t>
      </w:r>
    </w:p>
    <w:p w14:paraId="7EAD8F25" w14:textId="77777777" w:rsidR="00026A91" w:rsidRPr="003140C2" w:rsidRDefault="00026A91" w:rsidP="003140C2">
      <w:pPr>
        <w:ind w:left="360"/>
        <w:rPr>
          <w:b/>
        </w:rPr>
      </w:pPr>
      <w:r w:rsidRPr="003140C2">
        <w:rPr>
          <w:b/>
        </w:rPr>
        <w:t>Agreed next steps</w:t>
      </w:r>
    </w:p>
    <w:p w14:paraId="63597893" w14:textId="77777777" w:rsidR="00026A91" w:rsidRPr="003140C2" w:rsidRDefault="00026A91" w:rsidP="003140C2">
      <w:pPr>
        <w:ind w:left="360"/>
      </w:pPr>
      <w:r w:rsidRPr="003140C2">
        <w:t>The Board agreed that communications work must now move from improvement activity to embedded practice, with clear ownership and accountability.</w:t>
      </w:r>
    </w:p>
    <w:p w14:paraId="7A737C3C" w14:textId="77777777" w:rsidR="00026A91" w:rsidRPr="003140C2" w:rsidRDefault="00026A91" w:rsidP="003140C2">
      <w:pPr>
        <w:ind w:firstLine="360"/>
      </w:pPr>
      <w:r w:rsidRPr="003140C2">
        <w:t>It was agreed that:</w:t>
      </w:r>
    </w:p>
    <w:p w14:paraId="3B720C06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The communications action should sit formally within the Communications Group, with clear reporting lines to the Board.</w:t>
      </w:r>
    </w:p>
    <w:p w14:paraId="21441055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The SEND Pledge should be treated as a core communications priority, embedded into routine messaging rather than a separate campaign.</w:t>
      </w:r>
    </w:p>
    <w:p w14:paraId="4B3351AA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t>Partners are expected to actively contribute content and engage with communications activity as part of their collective responsibility.</w:t>
      </w:r>
    </w:p>
    <w:p w14:paraId="0AD0B6DC" w14:textId="77777777" w:rsidR="00026A91" w:rsidRPr="003140C2" w:rsidRDefault="00026A91" w:rsidP="00026A91">
      <w:pPr>
        <w:numPr>
          <w:ilvl w:val="0"/>
          <w:numId w:val="4"/>
        </w:numPr>
      </w:pPr>
      <w:r w:rsidRPr="003140C2">
        <w:lastRenderedPageBreak/>
        <w:t>Diagnostics and engagement data should be used to assess impact and inform future communications planning.</w:t>
      </w:r>
    </w:p>
    <w:p w14:paraId="51A5931B" w14:textId="47CD6D79" w:rsidR="00026A91" w:rsidRPr="003140C2" w:rsidRDefault="00026A91" w:rsidP="00462F78"/>
    <w:p w14:paraId="5FCBEA27" w14:textId="52C86C39" w:rsidR="00406B30" w:rsidRPr="00406B30" w:rsidRDefault="00705183" w:rsidP="00406B30">
      <w:pPr>
        <w:ind w:left="360"/>
        <w:rPr>
          <w:b/>
          <w:bCs/>
        </w:rPr>
      </w:pPr>
      <w:r>
        <w:rPr>
          <w:b/>
          <w:bCs/>
        </w:rPr>
        <w:t xml:space="preserve">Communication </w:t>
      </w:r>
      <w:r w:rsidR="00406B30" w:rsidRPr="00406B30">
        <w:rPr>
          <w:b/>
          <w:bCs/>
        </w:rPr>
        <w:t xml:space="preserve">Actions </w:t>
      </w:r>
    </w:p>
    <w:p w14:paraId="7AD94AED" w14:textId="71C45244" w:rsidR="00026A91" w:rsidRPr="003140C2" w:rsidRDefault="00026A91" w:rsidP="00026A91">
      <w:pPr>
        <w:numPr>
          <w:ilvl w:val="0"/>
          <w:numId w:val="4"/>
        </w:numPr>
      </w:pPr>
      <w:r w:rsidRPr="003140C2">
        <w:t>Strengthen and formalise Communications Group oversight and reporting to SLAIP</w:t>
      </w:r>
    </w:p>
    <w:p w14:paraId="44D851CB" w14:textId="1394E135" w:rsidR="00026A91" w:rsidRPr="003140C2" w:rsidRDefault="00026A91" w:rsidP="00026A91">
      <w:pPr>
        <w:numPr>
          <w:ilvl w:val="0"/>
          <w:numId w:val="4"/>
        </w:numPr>
      </w:pPr>
      <w:r w:rsidRPr="003140C2">
        <w:t>Ensure partners actively contribute content and respond to communications requests</w:t>
      </w:r>
    </w:p>
    <w:p w14:paraId="1BEB60F7" w14:textId="092574A7" w:rsidR="00026A91" w:rsidRPr="00250661" w:rsidRDefault="00026A91" w:rsidP="00375554">
      <w:pPr>
        <w:numPr>
          <w:ilvl w:val="0"/>
          <w:numId w:val="4"/>
        </w:numPr>
      </w:pPr>
      <w:r w:rsidRPr="003140C2">
        <w:t>Use communications diagnostics and engagement data to assess impact and inform next steps</w:t>
      </w:r>
      <w:r w:rsidRPr="003140C2">
        <w:br/>
      </w:r>
    </w:p>
    <w:p w14:paraId="549257AF" w14:textId="5ADA9501" w:rsidR="00DC585A" w:rsidRPr="00EA4136" w:rsidRDefault="00DC585A" w:rsidP="00DC585A">
      <w:pPr>
        <w:rPr>
          <w:b/>
        </w:rPr>
      </w:pPr>
      <w:r w:rsidRPr="00EA4136">
        <w:rPr>
          <w:b/>
        </w:rPr>
        <w:t xml:space="preserve">Update on the “You Said, We Did” </w:t>
      </w:r>
      <w:r w:rsidRPr="00EA4136">
        <w:rPr>
          <w:b/>
          <w:bCs/>
        </w:rPr>
        <w:t>D</w:t>
      </w:r>
      <w:r w:rsidR="00EA4136" w:rsidRPr="00EA4136">
        <w:rPr>
          <w:b/>
          <w:bCs/>
        </w:rPr>
        <w:t xml:space="preserve">evelopments </w:t>
      </w:r>
    </w:p>
    <w:p w14:paraId="0D3ABE9A" w14:textId="77777777" w:rsidR="00DC585A" w:rsidRPr="00EA4136" w:rsidRDefault="00DC585A" w:rsidP="00DC585A">
      <w:r w:rsidRPr="00EA4136">
        <w:t>The Board considered progress and next steps in relation to the “You Said, We Did” feedback loop, recognising this as a critical mechanism for demonstrating that children, young people and families’ voices are meaningfully influencing practice and system change.</w:t>
      </w:r>
    </w:p>
    <w:p w14:paraId="21AECE3F" w14:textId="77777777" w:rsidR="00DC585A" w:rsidRPr="00EA4136" w:rsidRDefault="00DC585A" w:rsidP="00DC585A">
      <w:r w:rsidRPr="00EA4136">
        <w:t>Current position</w:t>
      </w:r>
    </w:p>
    <w:p w14:paraId="4A2B187C" w14:textId="77777777" w:rsidR="00DC585A" w:rsidRPr="00EA4136" w:rsidRDefault="00DC585A" w:rsidP="00DC585A">
      <w:r w:rsidRPr="00EA4136">
        <w:t>The Board noted that:</w:t>
      </w:r>
    </w:p>
    <w:p w14:paraId="72571F77" w14:textId="77777777" w:rsidR="00DC585A" w:rsidRPr="00EA4136" w:rsidRDefault="00DC585A" w:rsidP="009A5238">
      <w:pPr>
        <w:numPr>
          <w:ilvl w:val="0"/>
          <w:numId w:val="22"/>
        </w:numPr>
      </w:pPr>
      <w:r w:rsidRPr="00EA4136">
        <w:t xml:space="preserve">Feedback from children, young people and families is being gathered through multiple routes, including: </w:t>
      </w:r>
    </w:p>
    <w:p w14:paraId="135F10F1" w14:textId="77777777" w:rsidR="00DC585A" w:rsidRPr="00EA4136" w:rsidRDefault="00DC585A" w:rsidP="009A5238">
      <w:pPr>
        <w:numPr>
          <w:ilvl w:val="1"/>
          <w:numId w:val="22"/>
        </w:numPr>
      </w:pPr>
      <w:r w:rsidRPr="00EA4136">
        <w:t>SEND Pledge engagement activity.</w:t>
      </w:r>
    </w:p>
    <w:p w14:paraId="4119B901" w14:textId="77777777" w:rsidR="00DC585A" w:rsidRPr="00EA4136" w:rsidRDefault="00DC585A" w:rsidP="009A5238">
      <w:pPr>
        <w:numPr>
          <w:ilvl w:val="1"/>
          <w:numId w:val="22"/>
        </w:numPr>
      </w:pPr>
      <w:r w:rsidRPr="00EA4136">
        <w:t>Parent carer forums.</w:t>
      </w:r>
    </w:p>
    <w:p w14:paraId="12DB31D5" w14:textId="77777777" w:rsidR="00DC585A" w:rsidRPr="00EA4136" w:rsidRDefault="00DC585A" w:rsidP="009A5238">
      <w:pPr>
        <w:numPr>
          <w:ilvl w:val="1"/>
          <w:numId w:val="22"/>
        </w:numPr>
      </w:pPr>
      <w:r w:rsidRPr="00EA4136">
        <w:t>Health, education and participation teams.</w:t>
      </w:r>
    </w:p>
    <w:p w14:paraId="7E138361" w14:textId="67D212F4" w:rsidR="00DC585A" w:rsidRPr="00EA4136" w:rsidRDefault="00DC585A" w:rsidP="009A5238">
      <w:pPr>
        <w:numPr>
          <w:ilvl w:val="0"/>
          <w:numId w:val="22"/>
        </w:numPr>
      </w:pPr>
      <w:r w:rsidRPr="00EA4136">
        <w:t xml:space="preserve">While engagement activity is strong, feedback is </w:t>
      </w:r>
      <w:r w:rsidRPr="005F566B">
        <w:t xml:space="preserve">not yet </w:t>
      </w:r>
      <w:r w:rsidR="00E04823">
        <w:t xml:space="preserve">a </w:t>
      </w:r>
      <w:r w:rsidRPr="005F566B">
        <w:t>consistently closed</w:t>
      </w:r>
      <w:r w:rsidR="0355B1DB">
        <w:t xml:space="preserve"> </w:t>
      </w:r>
      <w:r w:rsidRPr="005F566B">
        <w:t>loop</w:t>
      </w:r>
      <w:r w:rsidR="00E04823">
        <w:t xml:space="preserve">.  Whilst there are good examples of </w:t>
      </w:r>
      <w:r w:rsidR="00970596">
        <w:t>feedback that has happened it is</w:t>
      </w:r>
      <w:r>
        <w:t xml:space="preserve"> not </w:t>
      </w:r>
      <w:r w:rsidR="00A27CEA">
        <w:t xml:space="preserve">summarised in one place as a partnership. </w:t>
      </w:r>
    </w:p>
    <w:p w14:paraId="2B77CC7E" w14:textId="77777777" w:rsidR="00DC585A" w:rsidRPr="005F566B" w:rsidRDefault="00DC585A" w:rsidP="00DC585A">
      <w:pPr>
        <w:rPr>
          <w:b/>
        </w:rPr>
      </w:pPr>
      <w:r w:rsidRPr="005F566B">
        <w:rPr>
          <w:b/>
        </w:rPr>
        <w:t>Board discussion</w:t>
      </w:r>
    </w:p>
    <w:p w14:paraId="2DECCE8C" w14:textId="77777777" w:rsidR="00DC585A" w:rsidRPr="005F566B" w:rsidRDefault="00DC585A" w:rsidP="00DC585A">
      <w:r w:rsidRPr="005F566B">
        <w:t>The Board agreed that:</w:t>
      </w:r>
    </w:p>
    <w:p w14:paraId="70BCA35A" w14:textId="5013ADCD" w:rsidR="00DC585A" w:rsidRPr="005F566B" w:rsidRDefault="00DC585A" w:rsidP="009A5238">
      <w:pPr>
        <w:numPr>
          <w:ilvl w:val="0"/>
          <w:numId w:val="23"/>
        </w:numPr>
      </w:pPr>
      <w:r w:rsidRPr="005F566B">
        <w:t>A clear and visible</w:t>
      </w:r>
      <w:r>
        <w:t xml:space="preserve"> </w:t>
      </w:r>
      <w:r w:rsidR="00A27CEA">
        <w:t>summarised</w:t>
      </w:r>
      <w:r w:rsidRPr="005F566B">
        <w:t xml:space="preserve"> “You Said, We Did” approach is essential to: </w:t>
      </w:r>
    </w:p>
    <w:p w14:paraId="0FD3B360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t>Building confidence with families.</w:t>
      </w:r>
    </w:p>
    <w:p w14:paraId="47953122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t>Supporting SEND reform delivery.</w:t>
      </w:r>
    </w:p>
    <w:p w14:paraId="418AB53A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lastRenderedPageBreak/>
        <w:t>Demonstrating accountability and transparency.</w:t>
      </w:r>
    </w:p>
    <w:p w14:paraId="01573DAD" w14:textId="77777777" w:rsidR="00DC585A" w:rsidRPr="005F566B" w:rsidRDefault="00DC585A" w:rsidP="009A5238">
      <w:pPr>
        <w:numPr>
          <w:ilvl w:val="0"/>
          <w:numId w:val="23"/>
        </w:numPr>
      </w:pPr>
      <w:r w:rsidRPr="005F566B">
        <w:t xml:space="preserve">Feedback loops should be: </w:t>
      </w:r>
    </w:p>
    <w:p w14:paraId="0AE5D3E4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t>Proportionate and realistic.</w:t>
      </w:r>
    </w:p>
    <w:p w14:paraId="2DFE9498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t>Embedded into existing communications and governance processes.</w:t>
      </w:r>
    </w:p>
    <w:p w14:paraId="1A974421" w14:textId="77777777" w:rsidR="00DC585A" w:rsidRPr="005F566B" w:rsidRDefault="00DC585A" w:rsidP="009A5238">
      <w:pPr>
        <w:numPr>
          <w:ilvl w:val="1"/>
          <w:numId w:val="23"/>
        </w:numPr>
      </w:pPr>
      <w:r w:rsidRPr="005F566B">
        <w:t>Focused on priority themes rather than individual cases.</w:t>
      </w:r>
    </w:p>
    <w:p w14:paraId="381D6AF6" w14:textId="77777777" w:rsidR="00DC585A" w:rsidRPr="005F566B" w:rsidRDefault="00DC585A" w:rsidP="009A5238">
      <w:pPr>
        <w:numPr>
          <w:ilvl w:val="0"/>
          <w:numId w:val="23"/>
        </w:numPr>
      </w:pPr>
      <w:r w:rsidRPr="005F566B">
        <w:t>“You Said, We Did” should not sit as a standalone product but should be integrated into communications, quality assurance and participation activity.</w:t>
      </w:r>
    </w:p>
    <w:p w14:paraId="5739582E" w14:textId="77777777" w:rsidR="00F71D4D" w:rsidRDefault="00F71D4D" w:rsidP="00DC585A"/>
    <w:p w14:paraId="2BF55101" w14:textId="758700DF" w:rsidR="00DC585A" w:rsidRPr="00A27CEA" w:rsidRDefault="00DC585A" w:rsidP="00DC585A">
      <w:pPr>
        <w:rPr>
          <w:b/>
        </w:rPr>
      </w:pPr>
      <w:r w:rsidRPr="00A27CEA">
        <w:rPr>
          <w:b/>
        </w:rPr>
        <w:t>“You Said, We Did” Actions</w:t>
      </w:r>
    </w:p>
    <w:p w14:paraId="7D315CF1" w14:textId="76D5A631" w:rsidR="00DC585A" w:rsidRPr="00A27CEA" w:rsidRDefault="00DC585A" w:rsidP="009A5238">
      <w:pPr>
        <w:numPr>
          <w:ilvl w:val="0"/>
          <w:numId w:val="24"/>
        </w:numPr>
      </w:pPr>
      <w:r w:rsidRPr="00A27CEA">
        <w:t>Develop a simple, partnership</w:t>
      </w:r>
      <w:r w:rsidR="4C7F6BE7">
        <w:t xml:space="preserve"> </w:t>
      </w:r>
      <w:r w:rsidRPr="00A27CEA">
        <w:t>wide “You Said, We Did” framework linked to SEND Pledge priorities</w:t>
      </w:r>
    </w:p>
    <w:p w14:paraId="69C771A0" w14:textId="7D55A1CE" w:rsidR="00DC585A" w:rsidRPr="00A27CEA" w:rsidRDefault="00DC585A" w:rsidP="009A5238">
      <w:pPr>
        <w:numPr>
          <w:ilvl w:val="0"/>
          <w:numId w:val="24"/>
        </w:numPr>
      </w:pPr>
      <w:r w:rsidRPr="00A27CEA">
        <w:t>Integrate “You Said, We Did” updates into routine SEND communications (including digital channels)</w:t>
      </w:r>
    </w:p>
    <w:p w14:paraId="1AD2BAB1" w14:textId="71AFD09D" w:rsidR="0003123D" w:rsidRPr="00250661" w:rsidRDefault="00DC585A" w:rsidP="0003123D">
      <w:pPr>
        <w:numPr>
          <w:ilvl w:val="0"/>
          <w:numId w:val="24"/>
        </w:numPr>
      </w:pPr>
      <w:r w:rsidRPr="007A39D1">
        <w:t>Align “You Said, We Did” reporting with SEND Reform Plan engagement and evidence of impact</w:t>
      </w:r>
      <w:r w:rsidRPr="007A39D1">
        <w:br/>
      </w:r>
    </w:p>
    <w:p w14:paraId="2150C7BC" w14:textId="0DA2DA1B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3. Risk Register </w:t>
      </w:r>
    </w:p>
    <w:p w14:paraId="4E552106" w14:textId="77777777" w:rsidR="0003123D" w:rsidRPr="0003123D" w:rsidRDefault="0003123D" w:rsidP="0003123D">
      <w:r w:rsidRPr="0003123D">
        <w:t>The Board reviewed the Risk Register in detail.</w:t>
      </w:r>
    </w:p>
    <w:p w14:paraId="10E305EE" w14:textId="0E061D53" w:rsidR="00315E54" w:rsidRPr="00315E54" w:rsidRDefault="00315E54" w:rsidP="0003123D">
      <w:pPr>
        <w:rPr>
          <w:b/>
          <w:bCs/>
        </w:rPr>
      </w:pPr>
      <w:r w:rsidRPr="00315E54">
        <w:rPr>
          <w:b/>
          <w:bCs/>
        </w:rPr>
        <w:t>Key Risks Discussed</w:t>
      </w:r>
    </w:p>
    <w:p w14:paraId="32E0C38A" w14:textId="02C66A27" w:rsidR="0003123D" w:rsidRPr="0003123D" w:rsidRDefault="0003123D" w:rsidP="0003123D">
      <w:r w:rsidRPr="0003123D">
        <w:t>SEND Reform / White Paper – Critical Risk</w:t>
      </w:r>
    </w:p>
    <w:p w14:paraId="73BA4F3C" w14:textId="13B741FF" w:rsidR="0003123D" w:rsidRPr="0003123D" w:rsidRDefault="0055424D" w:rsidP="0003123D">
      <w:r>
        <w:t>It was</w:t>
      </w:r>
      <w:r w:rsidR="0003123D" w:rsidRPr="0003123D">
        <w:t xml:space="preserve"> confirmed that the risk remains Critical, due to:</w:t>
      </w:r>
    </w:p>
    <w:p w14:paraId="4D7EA349" w14:textId="77777777" w:rsidR="0003123D" w:rsidRPr="0003123D" w:rsidRDefault="0003123D" w:rsidP="00265E1D">
      <w:pPr>
        <w:numPr>
          <w:ilvl w:val="0"/>
          <w:numId w:val="5"/>
        </w:numPr>
      </w:pPr>
      <w:r w:rsidRPr="0003123D">
        <w:t>Continued absence of detailed statutory guidance.</w:t>
      </w:r>
    </w:p>
    <w:p w14:paraId="0E4B1658" w14:textId="77777777" w:rsidR="0003123D" w:rsidRPr="0003123D" w:rsidRDefault="0003123D" w:rsidP="00265E1D">
      <w:pPr>
        <w:numPr>
          <w:ilvl w:val="0"/>
          <w:numId w:val="5"/>
        </w:numPr>
      </w:pPr>
      <w:r w:rsidRPr="0003123D">
        <w:t>Extremely compressed delivery timescales.</w:t>
      </w:r>
    </w:p>
    <w:p w14:paraId="71A4D3E1" w14:textId="77777777" w:rsidR="0003123D" w:rsidRPr="0003123D" w:rsidRDefault="0003123D" w:rsidP="00265E1D">
      <w:pPr>
        <w:numPr>
          <w:ilvl w:val="0"/>
          <w:numId w:val="5"/>
        </w:numPr>
      </w:pPr>
      <w:r w:rsidRPr="0003123D">
        <w:t>Reduced effective working days due to Easter and bank holidays.</w:t>
      </w:r>
    </w:p>
    <w:p w14:paraId="14735EE0" w14:textId="51F440A5" w:rsidR="0003123D" w:rsidRPr="0003123D" w:rsidRDefault="0003123D" w:rsidP="0003123D"/>
    <w:p w14:paraId="290B65AF" w14:textId="77777777" w:rsidR="0003123D" w:rsidRPr="0003123D" w:rsidRDefault="0003123D" w:rsidP="0003123D">
      <w:r w:rsidRPr="0003123D">
        <w:t>Workforce Capacity</w:t>
      </w:r>
    </w:p>
    <w:p w14:paraId="3548A7CB" w14:textId="77777777" w:rsidR="0003123D" w:rsidRPr="0003123D" w:rsidRDefault="0003123D" w:rsidP="0003123D">
      <w:r w:rsidRPr="0003123D">
        <w:t>Updates were provided as follows:</w:t>
      </w:r>
    </w:p>
    <w:p w14:paraId="3F59D995" w14:textId="32B2B948" w:rsidR="0003123D" w:rsidRPr="0003123D" w:rsidRDefault="00636CBC" w:rsidP="00265E1D">
      <w:pPr>
        <w:numPr>
          <w:ilvl w:val="0"/>
          <w:numId w:val="6"/>
        </w:numPr>
      </w:pPr>
      <w:r>
        <w:t>It was</w:t>
      </w:r>
      <w:r w:rsidR="0003123D" w:rsidRPr="0003123D">
        <w:t xml:space="preserve"> confirmed </w:t>
      </w:r>
      <w:r>
        <w:t xml:space="preserve">that </w:t>
      </w:r>
      <w:r w:rsidR="0003123D" w:rsidRPr="0003123D">
        <w:t>SEND Programme capacity is now strengthened.</w:t>
      </w:r>
    </w:p>
    <w:p w14:paraId="74FD03DD" w14:textId="77777777" w:rsidR="0003123D" w:rsidRPr="0003123D" w:rsidRDefault="0003123D" w:rsidP="00265E1D">
      <w:pPr>
        <w:numPr>
          <w:ilvl w:val="0"/>
          <w:numId w:val="6"/>
        </w:numPr>
      </w:pPr>
      <w:r w:rsidRPr="0003123D">
        <w:t>Head of SEND confirmed to start 1 May (Local Authority).</w:t>
      </w:r>
    </w:p>
    <w:p w14:paraId="3601F06E" w14:textId="77777777" w:rsidR="0003123D" w:rsidRPr="0003123D" w:rsidRDefault="0003123D" w:rsidP="00265E1D">
      <w:pPr>
        <w:numPr>
          <w:ilvl w:val="1"/>
          <w:numId w:val="6"/>
        </w:numPr>
      </w:pPr>
      <w:r w:rsidRPr="0003123D">
        <w:lastRenderedPageBreak/>
        <w:t>NHS Devon ICB executive leadership now confirmed.</w:t>
      </w:r>
    </w:p>
    <w:p w14:paraId="03718C9F" w14:textId="77777777" w:rsidR="0003123D" w:rsidRPr="0003123D" w:rsidRDefault="0003123D" w:rsidP="00265E1D">
      <w:pPr>
        <w:numPr>
          <w:ilvl w:val="1"/>
          <w:numId w:val="6"/>
        </w:numPr>
      </w:pPr>
      <w:r w:rsidRPr="0003123D">
        <w:t>Phase two restructure ongoing, with potential workforce reductions of up to 50%.</w:t>
      </w:r>
    </w:p>
    <w:p w14:paraId="362C6F60" w14:textId="3D21F394" w:rsidR="0003123D" w:rsidRPr="0003123D" w:rsidRDefault="0003123D" w:rsidP="0003123D">
      <w:r w:rsidRPr="0003123D">
        <w:t xml:space="preserve">The Board formally acknowledged NHS workforce pressures and thanked </w:t>
      </w:r>
      <w:r w:rsidR="00636CBC">
        <w:t xml:space="preserve">health </w:t>
      </w:r>
      <w:r w:rsidRPr="0003123D">
        <w:t>colleagues for continued engagement.</w:t>
      </w:r>
    </w:p>
    <w:p w14:paraId="26672847" w14:textId="17D74A9B" w:rsidR="0003123D" w:rsidRPr="0003123D" w:rsidRDefault="0003123D" w:rsidP="0003123D"/>
    <w:p w14:paraId="5E80F752" w14:textId="77777777" w:rsidR="0003123D" w:rsidRPr="0003123D" w:rsidRDefault="0003123D" w:rsidP="0003123D">
      <w:r w:rsidRPr="0003123D">
        <w:t>Section 75 Arrangement (Adult Social Care)</w:t>
      </w:r>
    </w:p>
    <w:p w14:paraId="149CE23A" w14:textId="26D76370" w:rsidR="0003123D" w:rsidRPr="0003123D" w:rsidRDefault="00636CBC" w:rsidP="0003123D">
      <w:r>
        <w:t>It was</w:t>
      </w:r>
      <w:r w:rsidR="0003123D" w:rsidRPr="0003123D">
        <w:t xml:space="preserve"> confirmed:</w:t>
      </w:r>
    </w:p>
    <w:p w14:paraId="619F91F3" w14:textId="77777777" w:rsidR="0003123D" w:rsidRPr="0003123D" w:rsidRDefault="0003123D" w:rsidP="00265E1D">
      <w:pPr>
        <w:numPr>
          <w:ilvl w:val="0"/>
          <w:numId w:val="7"/>
        </w:numPr>
      </w:pPr>
      <w:r w:rsidRPr="0003123D">
        <w:t>Formal notice has been given to end the Section 75 arrangement.</w:t>
      </w:r>
    </w:p>
    <w:p w14:paraId="41AF1109" w14:textId="77777777" w:rsidR="0003123D" w:rsidRPr="0003123D" w:rsidRDefault="0003123D" w:rsidP="00265E1D">
      <w:pPr>
        <w:numPr>
          <w:ilvl w:val="0"/>
          <w:numId w:val="7"/>
        </w:numPr>
      </w:pPr>
      <w:r w:rsidRPr="0003123D">
        <w:t>Adult social care delivery will return to the Council from 1 April next year.</w:t>
      </w:r>
    </w:p>
    <w:p w14:paraId="742D6679" w14:textId="77777777" w:rsidR="0003123D" w:rsidRPr="0003123D" w:rsidRDefault="0003123D" w:rsidP="00265E1D">
      <w:pPr>
        <w:numPr>
          <w:ilvl w:val="0"/>
          <w:numId w:val="7"/>
        </w:numPr>
      </w:pPr>
      <w:r w:rsidRPr="0003123D">
        <w:t>Programme governance arrangements are in place.</w:t>
      </w:r>
    </w:p>
    <w:p w14:paraId="0CC138DB" w14:textId="77777777" w:rsidR="0003123D" w:rsidRPr="0003123D" w:rsidRDefault="0003123D" w:rsidP="0003123D">
      <w:r w:rsidRPr="0003123D">
        <w:t>Key risks identified:</w:t>
      </w:r>
    </w:p>
    <w:p w14:paraId="6BAED7A3" w14:textId="77777777" w:rsidR="0003123D" w:rsidRPr="0003123D" w:rsidRDefault="0003123D" w:rsidP="00265E1D">
      <w:pPr>
        <w:numPr>
          <w:ilvl w:val="0"/>
          <w:numId w:val="8"/>
        </w:numPr>
      </w:pPr>
      <w:r w:rsidRPr="0003123D">
        <w:t>Workforce stability.</w:t>
      </w:r>
    </w:p>
    <w:p w14:paraId="2D937D41" w14:textId="77777777" w:rsidR="0003123D" w:rsidRPr="0003123D" w:rsidRDefault="0003123D" w:rsidP="00265E1D">
      <w:pPr>
        <w:numPr>
          <w:ilvl w:val="0"/>
          <w:numId w:val="8"/>
        </w:numPr>
      </w:pPr>
      <w:r w:rsidRPr="0003123D">
        <w:t>Commissioning complexity.</w:t>
      </w:r>
    </w:p>
    <w:p w14:paraId="0E38F5F7" w14:textId="77777777" w:rsidR="0003123D" w:rsidRPr="0003123D" w:rsidRDefault="0003123D" w:rsidP="00265E1D">
      <w:pPr>
        <w:numPr>
          <w:ilvl w:val="0"/>
          <w:numId w:val="8"/>
        </w:numPr>
      </w:pPr>
      <w:r w:rsidRPr="0003123D">
        <w:t>Transitions from Children’s to Adult Services.</w:t>
      </w:r>
    </w:p>
    <w:p w14:paraId="0F61F97F" w14:textId="3955D149" w:rsidR="0003123D" w:rsidRPr="0003123D" w:rsidRDefault="0003123D" w:rsidP="0003123D">
      <w:pPr>
        <w:rPr>
          <w:b/>
          <w:bCs/>
        </w:rPr>
      </w:pPr>
    </w:p>
    <w:p w14:paraId="3CAD3DF3" w14:textId="300E87FF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4. Progress Tracker </w:t>
      </w:r>
    </w:p>
    <w:p w14:paraId="59CC41AE" w14:textId="7CCFB701" w:rsidR="0003123D" w:rsidRPr="00367B7C" w:rsidRDefault="002705F4" w:rsidP="0003123D">
      <w:pPr>
        <w:rPr>
          <w:b/>
        </w:rPr>
      </w:pPr>
      <w:r w:rsidRPr="00367B7C">
        <w:rPr>
          <w:b/>
          <w:bCs/>
        </w:rPr>
        <w:t>PA3</w:t>
      </w:r>
      <w:r w:rsidR="00367B7C" w:rsidRPr="00367B7C">
        <w:rPr>
          <w:b/>
          <w:bCs/>
        </w:rPr>
        <w:t xml:space="preserve"> - </w:t>
      </w:r>
      <w:r w:rsidR="0003123D" w:rsidRPr="00367B7C">
        <w:rPr>
          <w:b/>
        </w:rPr>
        <w:t>Statutory SEND Performance</w:t>
      </w:r>
    </w:p>
    <w:p w14:paraId="0E3DE98F" w14:textId="77777777" w:rsidR="0003123D" w:rsidRPr="0003123D" w:rsidRDefault="0003123D" w:rsidP="00636CBC">
      <w:r w:rsidRPr="0003123D">
        <w:t xml:space="preserve">100% compliance achieved for: </w:t>
      </w:r>
    </w:p>
    <w:p w14:paraId="7835C7B2" w14:textId="77777777" w:rsidR="0003123D" w:rsidRPr="0003123D" w:rsidRDefault="0003123D" w:rsidP="00265E1D">
      <w:pPr>
        <w:numPr>
          <w:ilvl w:val="1"/>
          <w:numId w:val="9"/>
        </w:numPr>
      </w:pPr>
      <w:r w:rsidRPr="0003123D">
        <w:t>Phase Transfer EHC Plans by 15 February.</w:t>
      </w:r>
    </w:p>
    <w:p w14:paraId="423AF312" w14:textId="77777777" w:rsidR="0003123D" w:rsidRPr="0003123D" w:rsidRDefault="0003123D" w:rsidP="00265E1D">
      <w:pPr>
        <w:numPr>
          <w:ilvl w:val="1"/>
          <w:numId w:val="9"/>
        </w:numPr>
      </w:pPr>
      <w:r w:rsidRPr="0003123D">
        <w:t>31 March statutory deadline.</w:t>
      </w:r>
    </w:p>
    <w:p w14:paraId="3FEE92E3" w14:textId="2C89F796" w:rsidR="0003123D" w:rsidRPr="0003123D" w:rsidRDefault="0003123D" w:rsidP="0003123D">
      <w:r w:rsidRPr="0003123D">
        <w:t>This was formally recognised by the Board as a significant milestone.</w:t>
      </w:r>
    </w:p>
    <w:p w14:paraId="3E85ECF2" w14:textId="77777777" w:rsidR="0003123D" w:rsidRPr="0003123D" w:rsidRDefault="0003123D" w:rsidP="0003123D">
      <w:r w:rsidRPr="0003123D">
        <w:t>Rising Demand and System Pressure</w:t>
      </w:r>
    </w:p>
    <w:p w14:paraId="4FD43CBE" w14:textId="77777777" w:rsidR="0003123D" w:rsidRPr="0003123D" w:rsidRDefault="0003123D" w:rsidP="00265E1D">
      <w:pPr>
        <w:numPr>
          <w:ilvl w:val="0"/>
          <w:numId w:val="10"/>
        </w:numPr>
      </w:pPr>
      <w:r w:rsidRPr="0003123D">
        <w:t>Over 80% increase in Educational Psychology advice requests.</w:t>
      </w:r>
    </w:p>
    <w:p w14:paraId="1C2B28D5" w14:textId="77777777" w:rsidR="0003123D" w:rsidRPr="0003123D" w:rsidRDefault="0003123D" w:rsidP="00265E1D">
      <w:pPr>
        <w:numPr>
          <w:ilvl w:val="0"/>
          <w:numId w:val="10"/>
        </w:numPr>
      </w:pPr>
      <w:r w:rsidRPr="0003123D">
        <w:t>Significant increase in parental statutory assessment requests.</w:t>
      </w:r>
    </w:p>
    <w:p w14:paraId="3ECA24C2" w14:textId="4DCAF2F4" w:rsidR="0003123D" w:rsidRPr="0003123D" w:rsidRDefault="0003123D" w:rsidP="00265E1D">
      <w:pPr>
        <w:numPr>
          <w:ilvl w:val="0"/>
          <w:numId w:val="10"/>
        </w:numPr>
      </w:pPr>
      <w:r w:rsidRPr="0003123D">
        <w:t>Similar demand pressures being reported across the South</w:t>
      </w:r>
      <w:r w:rsidR="00B005D6">
        <w:t>-</w:t>
      </w:r>
      <w:r w:rsidRPr="0003123D">
        <w:t>West.</w:t>
      </w:r>
    </w:p>
    <w:p w14:paraId="6BF0F4D9" w14:textId="77777777" w:rsidR="0003123D" w:rsidRPr="0003123D" w:rsidRDefault="0003123D" w:rsidP="0003123D">
      <w:r w:rsidRPr="0003123D">
        <w:t>Risks noted</w:t>
      </w:r>
    </w:p>
    <w:p w14:paraId="15EE28E3" w14:textId="77777777" w:rsidR="0003123D" w:rsidRPr="0003123D" w:rsidRDefault="0003123D" w:rsidP="00265E1D">
      <w:pPr>
        <w:numPr>
          <w:ilvl w:val="0"/>
          <w:numId w:val="11"/>
        </w:numPr>
      </w:pPr>
      <w:r w:rsidRPr="0003123D">
        <w:t>Increased appeals and tribunals.</w:t>
      </w:r>
    </w:p>
    <w:p w14:paraId="6CA35046" w14:textId="68DE0866" w:rsidR="0003123D" w:rsidRPr="0003123D" w:rsidRDefault="0003123D" w:rsidP="00265E1D">
      <w:pPr>
        <w:numPr>
          <w:ilvl w:val="0"/>
          <w:numId w:val="11"/>
        </w:numPr>
      </w:pPr>
      <w:r w:rsidRPr="0003123D">
        <w:lastRenderedPageBreak/>
        <w:t>Capacity pressures on SENDIAS, health pathways and schools.</w:t>
      </w:r>
    </w:p>
    <w:p w14:paraId="6200284A" w14:textId="77777777" w:rsidR="00EF1272" w:rsidRPr="0003123D" w:rsidRDefault="00EF1272" w:rsidP="0003123D">
      <w:pPr>
        <w:rPr>
          <w:b/>
          <w:bCs/>
        </w:rPr>
      </w:pPr>
    </w:p>
    <w:p w14:paraId="215BDC77" w14:textId="77777777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>5. Children and Young People’s (CYP) Voice – SEND Pledge</w:t>
      </w:r>
    </w:p>
    <w:p w14:paraId="2781ACD2" w14:textId="77777777" w:rsidR="0003123D" w:rsidRPr="0003123D" w:rsidRDefault="0003123D" w:rsidP="0003123D">
      <w:r w:rsidRPr="0003123D">
        <w:t>SEND Pledge engagement feedback</w:t>
      </w:r>
    </w:p>
    <w:p w14:paraId="24DA29F5" w14:textId="77777777" w:rsidR="006967FA" w:rsidRPr="00BC6DA5" w:rsidRDefault="006967FA" w:rsidP="006967FA">
      <w:pPr>
        <w:rPr>
          <w:b/>
        </w:rPr>
      </w:pPr>
      <w:r w:rsidRPr="00BC6DA5">
        <w:rPr>
          <w:b/>
        </w:rPr>
        <w:t>Summary of discussion</w:t>
      </w:r>
    </w:p>
    <w:p w14:paraId="6088625C" w14:textId="77777777" w:rsidR="006967FA" w:rsidRPr="00BC6DA5" w:rsidRDefault="006967FA" w:rsidP="006967FA">
      <w:r w:rsidRPr="00BC6DA5">
        <w:t>The Board received detailed feedback from engagement activity with children, young people and families, including the SEND Pledge engagement event and wider participation work.</w:t>
      </w:r>
    </w:p>
    <w:p w14:paraId="6B3252C3" w14:textId="77777777" w:rsidR="006967FA" w:rsidRPr="00BC6DA5" w:rsidRDefault="006967FA" w:rsidP="006967FA">
      <w:r w:rsidRPr="00BC6DA5">
        <w:t>Key messages from children, young people and families The Board noted consistent themes emerging across engagement:</w:t>
      </w:r>
    </w:p>
    <w:p w14:paraId="049DFFE6" w14:textId="77777777" w:rsidR="006967FA" w:rsidRPr="00BC6DA5" w:rsidRDefault="006967FA" w:rsidP="009A5238">
      <w:pPr>
        <w:numPr>
          <w:ilvl w:val="0"/>
          <w:numId w:val="25"/>
        </w:numPr>
      </w:pPr>
      <w:r w:rsidRPr="00BC6DA5">
        <w:t>Children and young people want to feel seen, heard and understood, not processed through systems.</w:t>
      </w:r>
    </w:p>
    <w:p w14:paraId="3C6ED42D" w14:textId="77777777" w:rsidR="006967FA" w:rsidRPr="00BC6DA5" w:rsidRDefault="006967FA" w:rsidP="009A5238">
      <w:pPr>
        <w:numPr>
          <w:ilvl w:val="0"/>
          <w:numId w:val="25"/>
        </w:numPr>
      </w:pPr>
      <w:r w:rsidRPr="00BC6DA5">
        <w:t>Kindness, fairness and predictability in interactions make a significant difference to lived experience.</w:t>
      </w:r>
    </w:p>
    <w:p w14:paraId="02CE8FFA" w14:textId="77777777" w:rsidR="006967FA" w:rsidRPr="00BC6DA5" w:rsidRDefault="006967FA" w:rsidP="009A5238">
      <w:pPr>
        <w:numPr>
          <w:ilvl w:val="0"/>
          <w:numId w:val="25"/>
        </w:numPr>
      </w:pPr>
      <w:r w:rsidRPr="00BC6DA5">
        <w:t>Experiences across education, health and care remain inconsistent, often depending on individual professionals rather than a shared system approach.</w:t>
      </w:r>
    </w:p>
    <w:p w14:paraId="49762430" w14:textId="77777777" w:rsidR="006967FA" w:rsidRPr="00BC6DA5" w:rsidRDefault="006967FA" w:rsidP="009A5238">
      <w:pPr>
        <w:numPr>
          <w:ilvl w:val="0"/>
          <w:numId w:val="25"/>
        </w:numPr>
      </w:pPr>
      <w:r w:rsidRPr="00BC6DA5">
        <w:t>Families value honest communication but want clearer explanations of what happens next and why decisions are made.</w:t>
      </w:r>
    </w:p>
    <w:p w14:paraId="54573262" w14:textId="6DD913DD" w:rsidR="006967FA" w:rsidRPr="00BC6DA5" w:rsidRDefault="006967FA" w:rsidP="009A5238">
      <w:pPr>
        <w:numPr>
          <w:ilvl w:val="0"/>
          <w:numId w:val="25"/>
        </w:numPr>
      </w:pPr>
      <w:r w:rsidRPr="00BC6DA5">
        <w:t xml:space="preserve">Young people highlighted the importance of psychological safety, preparation for meetings, and adults communicating in </w:t>
      </w:r>
      <w:r w:rsidR="76350DE1">
        <w:t>child friendly</w:t>
      </w:r>
      <w:r w:rsidRPr="00BC6DA5">
        <w:t xml:space="preserve"> ways.</w:t>
      </w:r>
    </w:p>
    <w:p w14:paraId="3034CE7E" w14:textId="4B4F5BFA" w:rsidR="006967FA" w:rsidRPr="00BC6DA5" w:rsidRDefault="006967FA" w:rsidP="006967FA">
      <w:r>
        <w:t>The Board recognised that these messages closely align with SEND reform priorities, inclusion expectations and trauma</w:t>
      </w:r>
      <w:r w:rsidR="2A3EEBDA">
        <w:t>-</w:t>
      </w:r>
      <w:r>
        <w:t>informed practice, and should therefore be treated as core system intelligence, not supplementary feedback.</w:t>
      </w:r>
    </w:p>
    <w:p w14:paraId="74E27908" w14:textId="440CC6F3" w:rsidR="006967FA" w:rsidRPr="006967FA" w:rsidRDefault="006967FA" w:rsidP="006967FA">
      <w:pPr>
        <w:rPr>
          <w:highlight w:val="yellow"/>
        </w:rPr>
      </w:pPr>
    </w:p>
    <w:p w14:paraId="2F4A3021" w14:textId="77777777" w:rsidR="006967FA" w:rsidRPr="00B71D80" w:rsidRDefault="006967FA" w:rsidP="006967FA">
      <w:pPr>
        <w:rPr>
          <w:b/>
        </w:rPr>
      </w:pPr>
      <w:r w:rsidRPr="00B71D80">
        <w:rPr>
          <w:b/>
        </w:rPr>
        <w:t>Reflection on current arrangements</w:t>
      </w:r>
    </w:p>
    <w:p w14:paraId="4C251E28" w14:textId="77777777" w:rsidR="006967FA" w:rsidRPr="00B71D80" w:rsidRDefault="006967FA" w:rsidP="006967FA">
      <w:r w:rsidRPr="00B71D80">
        <w:t>The Board reflected that:</w:t>
      </w:r>
    </w:p>
    <w:p w14:paraId="4702B8E7" w14:textId="77777777" w:rsidR="006967FA" w:rsidRPr="00B71D80" w:rsidRDefault="006967FA" w:rsidP="009A5238">
      <w:pPr>
        <w:numPr>
          <w:ilvl w:val="0"/>
          <w:numId w:val="26"/>
        </w:numPr>
      </w:pPr>
      <w:r w:rsidRPr="00B71D80">
        <w:t>There are multiple routes for gathering CYP and family voice (participation team, parent carer forum, SENDIAS, health and education engagement), but these are not always coordinated.</w:t>
      </w:r>
    </w:p>
    <w:p w14:paraId="4E7C3DA0" w14:textId="77777777" w:rsidR="006967FA" w:rsidRPr="00B71D80" w:rsidRDefault="006967FA" w:rsidP="009A5238">
      <w:pPr>
        <w:numPr>
          <w:ilvl w:val="0"/>
          <w:numId w:val="26"/>
        </w:numPr>
      </w:pPr>
      <w:r w:rsidRPr="00B71D80">
        <w:t>Feedback is not consistently translated into visible system change or reported back in a way that families recognise.</w:t>
      </w:r>
    </w:p>
    <w:p w14:paraId="0F54F673" w14:textId="77777777" w:rsidR="006967FA" w:rsidRPr="00B71D80" w:rsidRDefault="006967FA" w:rsidP="009A5238">
      <w:pPr>
        <w:numPr>
          <w:ilvl w:val="0"/>
          <w:numId w:val="26"/>
        </w:numPr>
      </w:pPr>
      <w:r w:rsidRPr="00B71D80">
        <w:lastRenderedPageBreak/>
        <w:t>This weakens trust and reinforces perceptions that consultation does not lead to impact.</w:t>
      </w:r>
    </w:p>
    <w:p w14:paraId="497F4CA7" w14:textId="77777777" w:rsidR="006967FA" w:rsidRPr="00B71D80" w:rsidRDefault="006967FA" w:rsidP="009A5238">
      <w:pPr>
        <w:numPr>
          <w:ilvl w:val="0"/>
          <w:numId w:val="26"/>
        </w:numPr>
      </w:pPr>
      <w:r w:rsidRPr="00B71D80">
        <w:t>Children and young people’s voices are heard more strongly at engagement events than in routine service interactions, where experiences are more variable.</w:t>
      </w:r>
    </w:p>
    <w:p w14:paraId="33AC8952" w14:textId="78108253" w:rsidR="006967FA" w:rsidRPr="00B71D80" w:rsidRDefault="006967FA" w:rsidP="006967FA">
      <w:r w:rsidRPr="00B71D80">
        <w:t>Members emphasised that CYP voice must move from being event</w:t>
      </w:r>
      <w:r w:rsidR="38C3EBA7">
        <w:t xml:space="preserve"> </w:t>
      </w:r>
      <w:r w:rsidRPr="00B71D80">
        <w:t>based to embedded in everyday practice and governance.</w:t>
      </w:r>
    </w:p>
    <w:p w14:paraId="7880AC26" w14:textId="77777777" w:rsidR="006967FA" w:rsidRPr="00B71D80" w:rsidRDefault="006967FA" w:rsidP="006967FA">
      <w:r w:rsidRPr="00B71D80">
        <w:t>The Board agreed a clear direction of travel for strengthening CYP voice:</w:t>
      </w:r>
    </w:p>
    <w:p w14:paraId="73465FA1" w14:textId="77777777" w:rsidR="006967FA" w:rsidRPr="00F67DA7" w:rsidRDefault="006967FA" w:rsidP="009A5238">
      <w:pPr>
        <w:numPr>
          <w:ilvl w:val="0"/>
          <w:numId w:val="27"/>
        </w:numPr>
      </w:pPr>
      <w:r w:rsidRPr="00F67DA7">
        <w:t>Alignment with SEND Pledge</w:t>
      </w:r>
    </w:p>
    <w:p w14:paraId="6DCF9E71" w14:textId="77777777" w:rsidR="006967FA" w:rsidRPr="00B71D80" w:rsidRDefault="006967FA" w:rsidP="009A5238">
      <w:pPr>
        <w:numPr>
          <w:ilvl w:val="1"/>
          <w:numId w:val="27"/>
        </w:numPr>
      </w:pPr>
      <w:r w:rsidRPr="00B71D80">
        <w:t>CYP voice activity should be explicitly linked to SEND Pledge principles.</w:t>
      </w:r>
    </w:p>
    <w:p w14:paraId="50FE581A" w14:textId="77777777" w:rsidR="006967FA" w:rsidRPr="00B71D80" w:rsidRDefault="006967FA" w:rsidP="009A5238">
      <w:pPr>
        <w:numPr>
          <w:ilvl w:val="1"/>
          <w:numId w:val="27"/>
        </w:numPr>
      </w:pPr>
      <w:r w:rsidRPr="00B71D80">
        <w:t>The SEND Pledge should be used as a practical framework for translating feedback into behavioural and system change.</w:t>
      </w:r>
    </w:p>
    <w:p w14:paraId="74115810" w14:textId="77777777" w:rsidR="006967FA" w:rsidRPr="00F67DA7" w:rsidRDefault="006967FA" w:rsidP="009A5238">
      <w:pPr>
        <w:numPr>
          <w:ilvl w:val="0"/>
          <w:numId w:val="27"/>
        </w:numPr>
      </w:pPr>
      <w:r w:rsidRPr="00F67DA7">
        <w:t>Clear accountability</w:t>
      </w:r>
    </w:p>
    <w:p w14:paraId="586C43DD" w14:textId="77777777" w:rsidR="006967FA" w:rsidRPr="00B71D80" w:rsidRDefault="006967FA" w:rsidP="009A5238">
      <w:pPr>
        <w:numPr>
          <w:ilvl w:val="1"/>
          <w:numId w:val="27"/>
        </w:numPr>
      </w:pPr>
      <w:r w:rsidRPr="00B71D80">
        <w:t>Responsibility for participation, feedback loops and communications must be explicit.</w:t>
      </w:r>
    </w:p>
    <w:p w14:paraId="4C745E69" w14:textId="77777777" w:rsidR="006967FA" w:rsidRPr="00B71D80" w:rsidRDefault="006967FA" w:rsidP="009A5238">
      <w:pPr>
        <w:numPr>
          <w:ilvl w:val="1"/>
          <w:numId w:val="27"/>
        </w:numPr>
      </w:pPr>
      <w:r w:rsidRPr="00B71D80">
        <w:t>CYP voice should be clearly linked to communications, QA and SEND reform activity.</w:t>
      </w:r>
    </w:p>
    <w:p w14:paraId="036AE84A" w14:textId="0530D7BD" w:rsidR="006967FA" w:rsidRDefault="009531CE" w:rsidP="006967FA">
      <w:pPr>
        <w:rPr>
          <w:b/>
        </w:rPr>
      </w:pPr>
      <w:r w:rsidRPr="009531CE">
        <w:rPr>
          <w:b/>
          <w:bCs/>
        </w:rPr>
        <w:t>Action</w:t>
      </w:r>
      <w:r w:rsidR="00F67DA7">
        <w:rPr>
          <w:b/>
          <w:bCs/>
        </w:rPr>
        <w:t>s</w:t>
      </w:r>
    </w:p>
    <w:p w14:paraId="1BE84244" w14:textId="3241D212" w:rsidR="00F67DA7" w:rsidRPr="00A109D4" w:rsidRDefault="00A109D4" w:rsidP="009A5238">
      <w:pPr>
        <w:pStyle w:val="ListParagraph"/>
        <w:numPr>
          <w:ilvl w:val="0"/>
          <w:numId w:val="21"/>
        </w:numPr>
      </w:pPr>
      <w:r w:rsidRPr="00A109D4">
        <w:t xml:space="preserve">Communication and feedback actions </w:t>
      </w:r>
      <w:r>
        <w:t xml:space="preserve">recorded in previous section </w:t>
      </w:r>
    </w:p>
    <w:p w14:paraId="79C7506A" w14:textId="38840B7B" w:rsidR="006967FA" w:rsidRPr="0003123D" w:rsidRDefault="006967FA" w:rsidP="009A5238">
      <w:pPr>
        <w:pStyle w:val="ListParagraph"/>
        <w:numPr>
          <w:ilvl w:val="0"/>
          <w:numId w:val="21"/>
        </w:numPr>
      </w:pPr>
      <w:r w:rsidRPr="00B71D80">
        <w:t>Maintain Board</w:t>
      </w:r>
      <w:r w:rsidR="62A1D39B">
        <w:t xml:space="preserve"> </w:t>
      </w:r>
      <w:r w:rsidRPr="00B71D80">
        <w:t>level oversight of CYP voice and ensure learning informs strategic decisions</w:t>
      </w:r>
      <w:r w:rsidRPr="00B71D80">
        <w:br/>
      </w:r>
    </w:p>
    <w:p w14:paraId="63940537" w14:textId="2AC412F9" w:rsidR="0003123D" w:rsidRPr="0003123D" w:rsidRDefault="0003123D" w:rsidP="0003123D">
      <w:pPr>
        <w:rPr>
          <w:b/>
          <w:bCs/>
        </w:rPr>
      </w:pPr>
    </w:p>
    <w:p w14:paraId="4098FDCD" w14:textId="63AFAE3F" w:rsidR="0003123D" w:rsidRPr="0003123D" w:rsidRDefault="0003123D" w:rsidP="0003123D">
      <w:pPr>
        <w:rPr>
          <w:b/>
          <w:bCs/>
        </w:rPr>
      </w:pPr>
      <w:r w:rsidRPr="7D58A2D0">
        <w:rPr>
          <w:b/>
          <w:bCs/>
        </w:rPr>
        <w:t xml:space="preserve">6. Data and Quality Assurance </w:t>
      </w:r>
      <w:r w:rsidR="1E36EE54" w:rsidRPr="7D58A2D0">
        <w:rPr>
          <w:b/>
          <w:bCs/>
        </w:rPr>
        <w:t>Subgroup</w:t>
      </w:r>
      <w:r w:rsidRPr="7D58A2D0">
        <w:rPr>
          <w:b/>
          <w:bCs/>
        </w:rPr>
        <w:t xml:space="preserve"> Report </w:t>
      </w:r>
    </w:p>
    <w:p w14:paraId="5D783524" w14:textId="4C54939C" w:rsidR="0003123D" w:rsidRPr="0003123D" w:rsidRDefault="00636CBC" w:rsidP="0003123D">
      <w:r>
        <w:t>The Chair</w:t>
      </w:r>
      <w:r w:rsidR="0003123D">
        <w:t xml:space="preserve"> presented the Data and QA </w:t>
      </w:r>
      <w:r w:rsidR="49F55781">
        <w:t>Subgroup</w:t>
      </w:r>
      <w:r w:rsidR="0003123D">
        <w:t xml:space="preserve"> update.</w:t>
      </w:r>
    </w:p>
    <w:p w14:paraId="679B9079" w14:textId="77777777" w:rsidR="0003123D" w:rsidRPr="0003123D" w:rsidRDefault="0003123D" w:rsidP="0003123D">
      <w:r w:rsidRPr="0003123D">
        <w:t>Data overview</w:t>
      </w:r>
    </w:p>
    <w:p w14:paraId="56026F76" w14:textId="77777777" w:rsidR="0003123D" w:rsidRPr="0003123D" w:rsidRDefault="0003123D" w:rsidP="009A5238">
      <w:pPr>
        <w:numPr>
          <w:ilvl w:val="0"/>
          <w:numId w:val="12"/>
        </w:numPr>
      </w:pPr>
      <w:r w:rsidRPr="0003123D">
        <w:t>Full data suite reinstated.</w:t>
      </w:r>
    </w:p>
    <w:p w14:paraId="367AE539" w14:textId="08313D1D" w:rsidR="0003123D" w:rsidRPr="0003123D" w:rsidRDefault="0003123D" w:rsidP="009A5238">
      <w:pPr>
        <w:numPr>
          <w:ilvl w:val="0"/>
          <w:numId w:val="12"/>
        </w:numPr>
      </w:pPr>
      <w:r w:rsidRPr="0003123D">
        <w:t xml:space="preserve">Improvements seen in several </w:t>
      </w:r>
      <w:r w:rsidR="00E26373">
        <w:t xml:space="preserve">health </w:t>
      </w:r>
      <w:r w:rsidRPr="0003123D">
        <w:t>pathways.</w:t>
      </w:r>
    </w:p>
    <w:p w14:paraId="7A793719" w14:textId="54712FA3" w:rsidR="0003123D" w:rsidRPr="0003123D" w:rsidRDefault="0003123D" w:rsidP="009A5238">
      <w:pPr>
        <w:numPr>
          <w:ilvl w:val="0"/>
          <w:numId w:val="12"/>
        </w:numPr>
      </w:pPr>
      <w:r w:rsidRPr="0003123D">
        <w:t>Neurodiversity and autism pathways remain under significant pressure.</w:t>
      </w:r>
    </w:p>
    <w:p w14:paraId="1743B7E4" w14:textId="77777777" w:rsidR="0003123D" w:rsidRPr="0003123D" w:rsidRDefault="0003123D" w:rsidP="0003123D">
      <w:r w:rsidRPr="0003123D">
        <w:t>Quality Assurance priorities</w:t>
      </w:r>
    </w:p>
    <w:p w14:paraId="1BF25868" w14:textId="67E58CDA" w:rsidR="0003123D" w:rsidRPr="0003123D" w:rsidRDefault="0003123D" w:rsidP="0003123D">
      <w:r>
        <w:t xml:space="preserve">The </w:t>
      </w:r>
      <w:r w:rsidR="3CF85587">
        <w:t>Subgroup</w:t>
      </w:r>
      <w:r>
        <w:t xml:space="preserve"> has agreed to:</w:t>
      </w:r>
    </w:p>
    <w:p w14:paraId="3B36588F" w14:textId="77777777" w:rsidR="0003123D" w:rsidRPr="0003123D" w:rsidRDefault="0003123D" w:rsidP="009A5238">
      <w:pPr>
        <w:numPr>
          <w:ilvl w:val="0"/>
          <w:numId w:val="13"/>
        </w:numPr>
      </w:pPr>
      <w:r w:rsidRPr="0003123D">
        <w:t>Focus the next six months on statutory QA actions only.</w:t>
      </w:r>
    </w:p>
    <w:p w14:paraId="179A1F03" w14:textId="4A933FA6" w:rsidR="0003123D" w:rsidRPr="0003123D" w:rsidRDefault="0003123D" w:rsidP="009A5238">
      <w:pPr>
        <w:numPr>
          <w:ilvl w:val="0"/>
          <w:numId w:val="13"/>
        </w:numPr>
      </w:pPr>
      <w:r w:rsidRPr="0003123D">
        <w:lastRenderedPageBreak/>
        <w:t>Improve clarity, accountability and demonstrable impact.</w:t>
      </w:r>
    </w:p>
    <w:p w14:paraId="0EA477BB" w14:textId="77777777" w:rsidR="0003123D" w:rsidRPr="0003123D" w:rsidRDefault="0003123D" w:rsidP="0003123D">
      <w:r w:rsidRPr="0003123D">
        <w:t>EHCP timeliness and communication</w:t>
      </w:r>
    </w:p>
    <w:p w14:paraId="5691F8E7" w14:textId="0F459217" w:rsidR="0003123D" w:rsidRPr="0003123D" w:rsidRDefault="0003123D" w:rsidP="0003123D">
      <w:r w:rsidRPr="0003123D">
        <w:t>The Board discussed findings from the end</w:t>
      </w:r>
      <w:r w:rsidR="14698F1B">
        <w:t>-</w:t>
      </w:r>
      <w:r w:rsidRPr="0003123D">
        <w:t>to</w:t>
      </w:r>
      <w:r w:rsidR="14698F1B">
        <w:t>-</w:t>
      </w:r>
      <w:r w:rsidRPr="0003123D">
        <w:t>end review including:</w:t>
      </w:r>
    </w:p>
    <w:p w14:paraId="3906AA0F" w14:textId="7F58C84E" w:rsidR="0003123D" w:rsidRPr="0003123D" w:rsidRDefault="0003123D" w:rsidP="009A5238">
      <w:pPr>
        <w:numPr>
          <w:ilvl w:val="0"/>
          <w:numId w:val="14"/>
        </w:numPr>
      </w:pPr>
      <w:r w:rsidRPr="0003123D">
        <w:t>Approximately 15 days of potential efficiency</w:t>
      </w:r>
      <w:r w:rsidR="00593397">
        <w:t xml:space="preserve"> across the system</w:t>
      </w:r>
      <w:r w:rsidRPr="0003123D">
        <w:t>.</w:t>
      </w:r>
    </w:p>
    <w:p w14:paraId="4FB6C9C1" w14:textId="77777777" w:rsidR="0003123D" w:rsidRPr="0003123D" w:rsidRDefault="0003123D" w:rsidP="009A5238">
      <w:pPr>
        <w:numPr>
          <w:ilvl w:val="0"/>
          <w:numId w:val="14"/>
        </w:numPr>
      </w:pPr>
      <w:r w:rsidRPr="0003123D">
        <w:t>The balance between relational practice and statutory timeliness.</w:t>
      </w:r>
    </w:p>
    <w:p w14:paraId="42CD1FA6" w14:textId="77777777" w:rsidR="0091466F" w:rsidRPr="00555A77" w:rsidRDefault="0091466F" w:rsidP="006B2976">
      <w:pPr>
        <w:ind w:left="720"/>
        <w:rPr>
          <w:bCs/>
        </w:rPr>
      </w:pPr>
      <w:r w:rsidRPr="00555A77">
        <w:rPr>
          <w:bCs/>
        </w:rPr>
        <w:t>EHCP Timeliness and Communications – Detailed Discussion and Way Forward</w:t>
      </w:r>
    </w:p>
    <w:p w14:paraId="5243ECE2" w14:textId="77777777" w:rsidR="0091466F" w:rsidRPr="006B2976" w:rsidRDefault="0091466F" w:rsidP="0002116E">
      <w:pPr>
        <w:rPr>
          <w:b/>
        </w:rPr>
      </w:pPr>
      <w:r w:rsidRPr="006B2976">
        <w:rPr>
          <w:b/>
        </w:rPr>
        <w:t>Context and current position</w:t>
      </w:r>
    </w:p>
    <w:p w14:paraId="3D05DDA7" w14:textId="3A29873A" w:rsidR="0091466F" w:rsidRPr="006B2976" w:rsidRDefault="0091466F" w:rsidP="0002116E">
      <w:r w:rsidRPr="006B2976">
        <w:t>The Board considered EHCP timeliness as a</w:t>
      </w:r>
      <w:r w:rsidRPr="00512CB6">
        <w:t xml:space="preserve"> critical operational and reputational issue</w:t>
      </w:r>
      <w:r w:rsidRPr="006B2976">
        <w:t>, particularly in the context of rising demand, SEND reform expectations and increasing anxiety among families.</w:t>
      </w:r>
      <w:r w:rsidR="006B2976" w:rsidRPr="006B2976">
        <w:t xml:space="preserve">  </w:t>
      </w:r>
      <w:r w:rsidR="00555A77">
        <w:t>The board was</w:t>
      </w:r>
      <w:r w:rsidRPr="006B2976">
        <w:rPr>
          <w:b/>
        </w:rPr>
        <w:t xml:space="preserve"> </w:t>
      </w:r>
      <w:r w:rsidRPr="006B2976">
        <w:t>provided an update on recent performance and system review:</w:t>
      </w:r>
    </w:p>
    <w:p w14:paraId="25151953" w14:textId="1C3CAE6A" w:rsidR="0091466F" w:rsidRPr="006B2976" w:rsidRDefault="0091466F" w:rsidP="009A5238">
      <w:pPr>
        <w:pStyle w:val="ListParagraph"/>
        <w:numPr>
          <w:ilvl w:val="0"/>
          <w:numId w:val="28"/>
        </w:numPr>
      </w:pPr>
      <w:r>
        <w:t xml:space="preserve">An </w:t>
      </w:r>
      <w:r w:rsidR="5F5B1181">
        <w:t>end-to-end</w:t>
      </w:r>
      <w:r>
        <w:t xml:space="preserve"> review of the statutory assessment process has been completed.</w:t>
      </w:r>
    </w:p>
    <w:p w14:paraId="35794DD5" w14:textId="77777777" w:rsidR="0091466F" w:rsidRPr="006B2976" w:rsidRDefault="0091466F" w:rsidP="009A5238">
      <w:pPr>
        <w:pStyle w:val="ListParagraph"/>
        <w:numPr>
          <w:ilvl w:val="0"/>
          <w:numId w:val="28"/>
        </w:numPr>
      </w:pPr>
      <w:r w:rsidRPr="006B2976">
        <w:t>This identified approximately 15 days of potential efficiency across the assessment timeline.</w:t>
      </w:r>
    </w:p>
    <w:p w14:paraId="09ABC591" w14:textId="77777777" w:rsidR="0091466F" w:rsidRPr="006B2976" w:rsidRDefault="0091466F" w:rsidP="009A5238">
      <w:pPr>
        <w:pStyle w:val="ListParagraph"/>
        <w:numPr>
          <w:ilvl w:val="0"/>
          <w:numId w:val="28"/>
        </w:numPr>
      </w:pPr>
      <w:r w:rsidRPr="006B2976">
        <w:t>Improvements in performance are already visible; however, the trajectory remains fragile and highly sensitive to demand and workforce capacity.</w:t>
      </w:r>
    </w:p>
    <w:p w14:paraId="1DC6EF58" w14:textId="77777777" w:rsidR="0091466F" w:rsidRPr="006B2976" w:rsidRDefault="0091466F" w:rsidP="009A5238">
      <w:pPr>
        <w:pStyle w:val="ListParagraph"/>
        <w:numPr>
          <w:ilvl w:val="0"/>
          <w:numId w:val="28"/>
        </w:numPr>
      </w:pPr>
      <w:r w:rsidRPr="006B2976">
        <w:t>The system is currently experiencing a significant surge in new requests, particularly parental requests, which will impact timeliness in the coming months.</w:t>
      </w:r>
    </w:p>
    <w:p w14:paraId="5E826690" w14:textId="5FAF7683" w:rsidR="0091466F" w:rsidRPr="008635EB" w:rsidRDefault="0091466F" w:rsidP="009A5238">
      <w:pPr>
        <w:pStyle w:val="ListParagraph"/>
        <w:numPr>
          <w:ilvl w:val="0"/>
          <w:numId w:val="28"/>
        </w:numPr>
      </w:pPr>
      <w:r w:rsidRPr="006B2976">
        <w:t>The Board acknowledged the achievement of 100% compliance for phase transfer plans, while recognising that this has required sustained effort and is not yet indicative of system resilience.</w:t>
      </w:r>
    </w:p>
    <w:p w14:paraId="4BA594BA" w14:textId="0826CBA3" w:rsidR="0091466F" w:rsidRPr="008635EB" w:rsidRDefault="008635EB" w:rsidP="0002116E">
      <w:pPr>
        <w:rPr>
          <w:b/>
        </w:rPr>
      </w:pPr>
      <w:r w:rsidRPr="008635EB">
        <w:rPr>
          <w:b/>
          <w:bCs/>
        </w:rPr>
        <w:t xml:space="preserve">Discussion </w:t>
      </w:r>
    </w:p>
    <w:p w14:paraId="7B52E2DE" w14:textId="439819AC" w:rsidR="0091466F" w:rsidRPr="008635EB" w:rsidRDefault="0091466F" w:rsidP="0002116E">
      <w:r w:rsidRPr="008635EB">
        <w:t xml:space="preserve">The Board discussed the relationship between timeliness and communication, </w:t>
      </w:r>
      <w:r w:rsidR="00512CB6">
        <w:t xml:space="preserve">as the </w:t>
      </w:r>
      <w:r w:rsidR="00185550">
        <w:t xml:space="preserve">end-to-end review highlighted </w:t>
      </w:r>
      <w:r w:rsidR="003313E5">
        <w:t xml:space="preserve">potential time savings currently used for </w:t>
      </w:r>
      <w:r w:rsidR="00311F1B">
        <w:t xml:space="preserve">contacting parents/carers following a </w:t>
      </w:r>
      <w:r w:rsidR="00806AAC">
        <w:t xml:space="preserve">‘no to assess’ decision.   This practice is not </w:t>
      </w:r>
      <w:r w:rsidR="005706C3">
        <w:t xml:space="preserve">part of the statutory requirements with many other LAs </w:t>
      </w:r>
      <w:r w:rsidR="00056D7C">
        <w:t xml:space="preserve">relying on schools to inform families.  However, the </w:t>
      </w:r>
      <w:r w:rsidR="0087106A">
        <w:t>value of communication with famili</w:t>
      </w:r>
      <w:r w:rsidR="00292D8D">
        <w:t xml:space="preserve">es, following the decision, cannot be underestimated.  </w:t>
      </w:r>
      <w:r w:rsidRPr="008635EB">
        <w:t>Families value early, honest and relational communication, particularly where decisions are complex or outcomes are not as hoped.</w:t>
      </w:r>
    </w:p>
    <w:p w14:paraId="35D64C92" w14:textId="77777777" w:rsidR="0091466F" w:rsidRPr="008635EB" w:rsidRDefault="0091466F" w:rsidP="0002116E">
      <w:r w:rsidRPr="008635EB">
        <w:t xml:space="preserve">Historically, Torbay has invested significant officer time in: </w:t>
      </w:r>
    </w:p>
    <w:p w14:paraId="7944427F" w14:textId="77777777" w:rsidR="0091466F" w:rsidRPr="008635EB" w:rsidRDefault="0091466F" w:rsidP="009A5238">
      <w:pPr>
        <w:numPr>
          <w:ilvl w:val="1"/>
          <w:numId w:val="14"/>
        </w:numPr>
      </w:pPr>
      <w:r w:rsidRPr="008635EB">
        <w:t>Telephone conversations following “no to assess” decisions.</w:t>
      </w:r>
    </w:p>
    <w:p w14:paraId="4AB7EA96" w14:textId="23B6E1FD" w:rsidR="0091466F" w:rsidRPr="008635EB" w:rsidRDefault="0091466F" w:rsidP="009A5238">
      <w:pPr>
        <w:numPr>
          <w:ilvl w:val="1"/>
          <w:numId w:val="14"/>
        </w:numPr>
      </w:pPr>
      <w:r w:rsidRPr="008635EB">
        <w:t>Follow</w:t>
      </w:r>
      <w:r w:rsidR="0D986D03">
        <w:t xml:space="preserve"> </w:t>
      </w:r>
      <w:r w:rsidRPr="008635EB">
        <w:t>up discussions to explain next steps.</w:t>
      </w:r>
    </w:p>
    <w:p w14:paraId="0CAF5E6D" w14:textId="7D3F7221" w:rsidR="0091466F" w:rsidRPr="008635EB" w:rsidRDefault="0091466F" w:rsidP="0002116E">
      <w:r w:rsidRPr="008635EB">
        <w:lastRenderedPageBreak/>
        <w:t xml:space="preserve">While this approach aligns with the SEND Pledge and relational practice, it is </w:t>
      </w:r>
      <w:r w:rsidRPr="00292D8D">
        <w:t>resource</w:t>
      </w:r>
      <w:r w:rsidR="3630A688">
        <w:t xml:space="preserve"> </w:t>
      </w:r>
      <w:r w:rsidRPr="00292D8D">
        <w:t>intensive</w:t>
      </w:r>
      <w:r w:rsidRPr="008635EB">
        <w:t xml:space="preserve"> and increasingly difficult to sustain at current demand levels.</w:t>
      </w:r>
    </w:p>
    <w:p w14:paraId="2671CD41" w14:textId="4EB84B75" w:rsidR="00D52DBE" w:rsidRPr="00D52DBE" w:rsidRDefault="0091466F" w:rsidP="0002116E">
      <w:r w:rsidRPr="00265F80">
        <w:t xml:space="preserve">The Board held a detailed discussion </w:t>
      </w:r>
      <w:r w:rsidRPr="00193B62">
        <w:t>about the balance between relational practice and statutory delivery</w:t>
      </w:r>
      <w:r w:rsidR="00D52DBE">
        <w:t>.</w:t>
      </w:r>
    </w:p>
    <w:p w14:paraId="4B2B7D7E" w14:textId="25B26BEB" w:rsidR="0091466F" w:rsidRPr="00D52DBE" w:rsidRDefault="0091466F" w:rsidP="0002116E">
      <w:r w:rsidRPr="00D52DBE">
        <w:t>The Board agreed the following</w:t>
      </w:r>
    </w:p>
    <w:p w14:paraId="5E7A2D01" w14:textId="5475BA64" w:rsidR="0091466F" w:rsidRPr="00555A77" w:rsidRDefault="0002116E" w:rsidP="00D52DBE">
      <w:r w:rsidRPr="00555A77">
        <w:t xml:space="preserve">Outcome: </w:t>
      </w:r>
      <w:r w:rsidR="0091466F" w:rsidRPr="00555A77">
        <w:t>No immediate change to EHCP communication processes will be made at this stage.</w:t>
      </w:r>
    </w:p>
    <w:p w14:paraId="101D5E3A" w14:textId="77777777" w:rsidR="0091466F" w:rsidRPr="00D52DBE" w:rsidRDefault="0091466F" w:rsidP="00D52DBE">
      <w:r w:rsidRPr="00D52DBE">
        <w:t>The current approach will continue while further evidence is gathered.</w:t>
      </w:r>
    </w:p>
    <w:p w14:paraId="51B488E6" w14:textId="77777777" w:rsidR="0091466F" w:rsidRPr="00D52DBE" w:rsidRDefault="0091466F" w:rsidP="00D52DBE">
      <w:r w:rsidRPr="00D52DBE">
        <w:t xml:space="preserve">Any future changes must: </w:t>
      </w:r>
    </w:p>
    <w:p w14:paraId="15F4B161" w14:textId="0BF6C4C9" w:rsidR="0091466F" w:rsidRPr="00D52DBE" w:rsidRDefault="0091466F" w:rsidP="009A5238">
      <w:pPr>
        <w:numPr>
          <w:ilvl w:val="0"/>
          <w:numId w:val="14"/>
        </w:numPr>
      </w:pPr>
      <w:r>
        <w:t>Be evidence</w:t>
      </w:r>
      <w:r w:rsidR="5AB60B6C">
        <w:t xml:space="preserve"> </w:t>
      </w:r>
      <w:r>
        <w:t>led.</w:t>
      </w:r>
    </w:p>
    <w:p w14:paraId="67459733" w14:textId="77777777" w:rsidR="0091466F" w:rsidRPr="00D52DBE" w:rsidRDefault="0091466F" w:rsidP="009A5238">
      <w:pPr>
        <w:numPr>
          <w:ilvl w:val="0"/>
          <w:numId w:val="14"/>
        </w:numPr>
      </w:pPr>
      <w:r w:rsidRPr="00D52DBE">
        <w:t>Avoid destabilising performance during peak demand.</w:t>
      </w:r>
    </w:p>
    <w:p w14:paraId="73C66BDF" w14:textId="77777777" w:rsidR="0091466F" w:rsidRPr="00D52DBE" w:rsidRDefault="0091466F" w:rsidP="009A5238">
      <w:pPr>
        <w:numPr>
          <w:ilvl w:val="0"/>
          <w:numId w:val="14"/>
        </w:numPr>
      </w:pPr>
      <w:r w:rsidRPr="00D52DBE">
        <w:t>Be clearly aligned with SEND Pledge principles.</w:t>
      </w:r>
    </w:p>
    <w:p w14:paraId="1E253CE1" w14:textId="77777777" w:rsidR="0091466F" w:rsidRPr="00D52DBE" w:rsidRDefault="0091466F" w:rsidP="00D52DBE">
      <w:r w:rsidRPr="00D52DBE">
        <w:t>The Board requested further work to:</w:t>
      </w:r>
    </w:p>
    <w:p w14:paraId="159D48C0" w14:textId="77777777" w:rsidR="0091466F" w:rsidRPr="00D52DBE" w:rsidRDefault="0091466F" w:rsidP="009A5238">
      <w:pPr>
        <w:numPr>
          <w:ilvl w:val="0"/>
          <w:numId w:val="14"/>
        </w:numPr>
      </w:pPr>
      <w:r w:rsidRPr="00D52DBE">
        <w:t>Model the impact of different communication approaches.</w:t>
      </w:r>
    </w:p>
    <w:p w14:paraId="4DFCAC64" w14:textId="77777777" w:rsidR="0091466F" w:rsidRPr="00D52DBE" w:rsidRDefault="0091466F" w:rsidP="009A5238">
      <w:pPr>
        <w:numPr>
          <w:ilvl w:val="0"/>
          <w:numId w:val="14"/>
        </w:numPr>
      </w:pPr>
      <w:r w:rsidRPr="00D52DBE">
        <w:t>Understand the relationship between communication, appeals and timeliness.</w:t>
      </w:r>
    </w:p>
    <w:p w14:paraId="716E4C78" w14:textId="4F728CA1" w:rsidR="0091466F" w:rsidRPr="00D52DBE" w:rsidRDefault="0091466F" w:rsidP="009A5238">
      <w:pPr>
        <w:numPr>
          <w:ilvl w:val="0"/>
          <w:numId w:val="14"/>
        </w:numPr>
      </w:pPr>
      <w:r>
        <w:t xml:space="preserve">Bring clear options and risks back through the Data and QA </w:t>
      </w:r>
      <w:r w:rsidR="1F425071">
        <w:t>Subgroup</w:t>
      </w:r>
      <w:r>
        <w:t>.</w:t>
      </w:r>
    </w:p>
    <w:p w14:paraId="0F186C27" w14:textId="1EE53A2E" w:rsidR="0091466F" w:rsidRPr="0002116E" w:rsidRDefault="0091466F" w:rsidP="00E74B24">
      <w:pPr>
        <w:ind w:left="360"/>
      </w:pPr>
    </w:p>
    <w:p w14:paraId="36F9C865" w14:textId="153C9D4F" w:rsidR="0091466F" w:rsidRPr="0002116E" w:rsidRDefault="00E74B24" w:rsidP="00E74B24">
      <w:pPr>
        <w:rPr>
          <w:b/>
        </w:rPr>
      </w:pPr>
      <w:r w:rsidRPr="0002116E">
        <w:rPr>
          <w:b/>
          <w:bCs/>
        </w:rPr>
        <w:t>Actions</w:t>
      </w:r>
      <w:r w:rsidR="0091466F" w:rsidRPr="0002116E">
        <w:rPr>
          <w:b/>
          <w:bCs/>
        </w:rPr>
        <w:t xml:space="preserve"> </w:t>
      </w:r>
    </w:p>
    <w:p w14:paraId="27899552" w14:textId="3D3DEB2D" w:rsidR="0091466F" w:rsidRPr="0002116E" w:rsidRDefault="0091466F" w:rsidP="009A5238">
      <w:pPr>
        <w:numPr>
          <w:ilvl w:val="0"/>
          <w:numId w:val="14"/>
        </w:numPr>
      </w:pPr>
      <w:r w:rsidRPr="0002116E">
        <w:t>Continue monitoring EHCP timeliness against increased demand and report emerging risks</w:t>
      </w:r>
    </w:p>
    <w:p w14:paraId="64324154" w14:textId="0C47E58C" w:rsidR="0091466F" w:rsidRPr="0002116E" w:rsidRDefault="0091466F" w:rsidP="009A5238">
      <w:pPr>
        <w:numPr>
          <w:ilvl w:val="0"/>
          <w:numId w:val="14"/>
        </w:numPr>
      </w:pPr>
      <w:r w:rsidRPr="0002116E">
        <w:t>Undertake further modelling of communication approaches (letters, calls, next steps meetings) and their impact on timeliness and appeals</w:t>
      </w:r>
      <w:r w:rsidRPr="0002116E">
        <w:br/>
      </w:r>
    </w:p>
    <w:p w14:paraId="1B82287C" w14:textId="77777777" w:rsidR="0003123D" w:rsidRPr="0003123D" w:rsidRDefault="00000000" w:rsidP="0003123D">
      <w:pPr>
        <w:rPr>
          <w:b/>
          <w:bCs/>
        </w:rPr>
      </w:pPr>
      <w:r>
        <w:rPr>
          <w:b/>
          <w:bCs/>
        </w:rPr>
        <w:pict w14:anchorId="7060E24A">
          <v:rect id="_x0000_i1026" style="width:0;height:1.5pt" o:hralign="center" o:hrstd="t" o:hr="t" fillcolor="#a0a0a0" stroked="f"/>
        </w:pict>
      </w:r>
    </w:p>
    <w:p w14:paraId="6B57CE33" w14:textId="77777777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>Comfort Break</w:t>
      </w:r>
    </w:p>
    <w:p w14:paraId="228E5A5D" w14:textId="77777777" w:rsidR="0003123D" w:rsidRPr="0003123D" w:rsidRDefault="00000000" w:rsidP="0003123D">
      <w:pPr>
        <w:rPr>
          <w:b/>
          <w:bCs/>
        </w:rPr>
      </w:pPr>
      <w:r>
        <w:rPr>
          <w:b/>
          <w:bCs/>
        </w:rPr>
        <w:pict w14:anchorId="4FD62EFD">
          <v:rect id="_x0000_i1027" style="width:0;height:1.5pt" o:hralign="center" o:hrstd="t" o:hr="t" fillcolor="#a0a0a0" stroked="f"/>
        </w:pict>
      </w:r>
    </w:p>
    <w:p w14:paraId="4A2D618D" w14:textId="00D1EE82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7. Stocktake Feedback and Next Steps </w:t>
      </w:r>
    </w:p>
    <w:p w14:paraId="1C77CB8D" w14:textId="56075F10" w:rsidR="0003123D" w:rsidRPr="0003123D" w:rsidRDefault="004C63EC" w:rsidP="0003123D">
      <w:r>
        <w:t>The Chair</w:t>
      </w:r>
      <w:r w:rsidR="0003123D" w:rsidRPr="0003123D">
        <w:t xml:space="preserve"> summarised feedback from external advisers.</w:t>
      </w:r>
    </w:p>
    <w:p w14:paraId="3AC89F2A" w14:textId="77777777" w:rsidR="0003123D" w:rsidRPr="0003123D" w:rsidRDefault="0003123D" w:rsidP="0003123D">
      <w:r w:rsidRPr="0003123D">
        <w:t>Key messages:</w:t>
      </w:r>
    </w:p>
    <w:p w14:paraId="52D75B82" w14:textId="0117E337" w:rsidR="002F79D1" w:rsidRDefault="002F79D1" w:rsidP="009A5238">
      <w:pPr>
        <w:numPr>
          <w:ilvl w:val="0"/>
          <w:numId w:val="15"/>
        </w:numPr>
      </w:pPr>
      <w:r>
        <w:lastRenderedPageBreak/>
        <w:t xml:space="preserve">Stocktake was a positive session </w:t>
      </w:r>
      <w:r w:rsidR="007D5517">
        <w:t>with a great deal of recognition of the hard work to date along with clear areas for consideration and next steps.</w:t>
      </w:r>
    </w:p>
    <w:p w14:paraId="680B025A" w14:textId="415BF4B0" w:rsidR="00A36BDE" w:rsidRDefault="00A36BDE" w:rsidP="009A5238">
      <w:pPr>
        <w:numPr>
          <w:ilvl w:val="0"/>
          <w:numId w:val="15"/>
        </w:numPr>
      </w:pPr>
      <w:r>
        <w:t>Good pace of delivery and response as a partnership with improved collaboration</w:t>
      </w:r>
    </w:p>
    <w:p w14:paraId="3D8ED7EA" w14:textId="1BD4CB79" w:rsidR="0003123D" w:rsidRPr="0003123D" w:rsidRDefault="0003123D" w:rsidP="009A5238">
      <w:pPr>
        <w:numPr>
          <w:ilvl w:val="0"/>
          <w:numId w:val="15"/>
        </w:numPr>
      </w:pPr>
      <w:r w:rsidRPr="0003123D">
        <w:t>Torbay is assessed as on track</w:t>
      </w:r>
      <w:r w:rsidR="0009618F">
        <w:t xml:space="preserve"> and can demonstrate the partnership is making a positive response to the issues. </w:t>
      </w:r>
    </w:p>
    <w:p w14:paraId="2BFDF4B1" w14:textId="43215C56" w:rsidR="0003123D" w:rsidRPr="0003123D" w:rsidRDefault="0003123D" w:rsidP="009A5238">
      <w:pPr>
        <w:numPr>
          <w:ilvl w:val="0"/>
          <w:numId w:val="15"/>
        </w:numPr>
      </w:pPr>
      <w:r w:rsidRPr="0003123D">
        <w:t>Progress is comparable with stronger performing areas</w:t>
      </w:r>
      <w:r w:rsidR="0009618F">
        <w:t xml:space="preserve"> and there are </w:t>
      </w:r>
      <w:r w:rsidR="00B971AE">
        <w:t xml:space="preserve">early signs of impact, which can be evidenced. </w:t>
      </w:r>
    </w:p>
    <w:p w14:paraId="48A0E51F" w14:textId="0EBF615C" w:rsidR="0003123D" w:rsidRPr="0003123D" w:rsidRDefault="0003123D" w:rsidP="009A5238">
      <w:pPr>
        <w:numPr>
          <w:ilvl w:val="0"/>
          <w:numId w:val="15"/>
        </w:numPr>
      </w:pPr>
      <w:r>
        <w:t xml:space="preserve">Strengths include partnership maturity and honest </w:t>
      </w:r>
      <w:r w:rsidR="00EE5389">
        <w:t xml:space="preserve">and accurate </w:t>
      </w:r>
      <w:r w:rsidR="3310CD8A">
        <w:t>self-assessment</w:t>
      </w:r>
      <w:r>
        <w:t>.</w:t>
      </w:r>
    </w:p>
    <w:p w14:paraId="5F82A04A" w14:textId="62C87350" w:rsidR="0003123D" w:rsidRPr="0003123D" w:rsidRDefault="0042267E" w:rsidP="0003123D">
      <w:r>
        <w:t xml:space="preserve">It was recognised that the coming six-months will need to focus on implementing the next phase of the actions and ensuring evidence is collected from across the partnership to </w:t>
      </w:r>
      <w:r w:rsidR="006550FE">
        <w:t xml:space="preserve">demonstrate increasing impact – this will be a significant priority for the partnership. </w:t>
      </w:r>
    </w:p>
    <w:p w14:paraId="7E815EB9" w14:textId="23B71814" w:rsidR="006550FE" w:rsidRDefault="00666BC9" w:rsidP="0003123D">
      <w:r>
        <w:t xml:space="preserve">The stocktake discussed the partnership’s ability to </w:t>
      </w:r>
      <w:r w:rsidR="006B2963">
        <w:t xml:space="preserve">collect both quantitative and qualitative data.  The suggestion of a scorecard </w:t>
      </w:r>
      <w:r w:rsidR="00545FF8">
        <w:t>against each of the priority areas could be introduced to ‘tell the improvement story’</w:t>
      </w:r>
    </w:p>
    <w:p w14:paraId="66608E8F" w14:textId="233D2B57" w:rsidR="00545FF8" w:rsidRDefault="00545FF8" w:rsidP="0003123D">
      <w:r>
        <w:t>Next steps:</w:t>
      </w:r>
    </w:p>
    <w:p w14:paraId="3267D352" w14:textId="76845430" w:rsidR="00545FF8" w:rsidRDefault="00545FF8" w:rsidP="009A5238">
      <w:pPr>
        <w:pStyle w:val="ListParagraph"/>
        <w:numPr>
          <w:ilvl w:val="0"/>
          <w:numId w:val="21"/>
        </w:numPr>
      </w:pPr>
      <w:r>
        <w:t xml:space="preserve">Letter summarising the findings of the stock take will be </w:t>
      </w:r>
      <w:r w:rsidR="002C1FD6">
        <w:t xml:space="preserve">sent from the DfE, which will be made public </w:t>
      </w:r>
    </w:p>
    <w:p w14:paraId="5D07222F" w14:textId="008572B3" w:rsidR="002C1FD6" w:rsidRDefault="002C1FD6" w:rsidP="009A5238">
      <w:pPr>
        <w:pStyle w:val="ListParagraph"/>
        <w:numPr>
          <w:ilvl w:val="0"/>
          <w:numId w:val="21"/>
        </w:numPr>
      </w:pPr>
      <w:r>
        <w:t xml:space="preserve">A deep dive into priority 3 will be arranged after </w:t>
      </w:r>
      <w:r w:rsidR="00714964">
        <w:t xml:space="preserve">June </w:t>
      </w:r>
    </w:p>
    <w:p w14:paraId="500BB0A9" w14:textId="54812EDF" w:rsidR="00714964" w:rsidRPr="0003123D" w:rsidRDefault="00714964" w:rsidP="009A5238">
      <w:pPr>
        <w:pStyle w:val="ListParagraph"/>
        <w:numPr>
          <w:ilvl w:val="0"/>
          <w:numId w:val="21"/>
        </w:numPr>
      </w:pPr>
      <w:r>
        <w:t>The next stocktake will be arranged for November</w:t>
      </w:r>
      <w:r w:rsidR="002D7D51">
        <w:t>.  This will have a significant focus on impact and quality of evidence to test the partnership’s narr</w:t>
      </w:r>
      <w:r w:rsidR="00507596">
        <w:t>ative ahead of January’s monitoring inspection</w:t>
      </w:r>
    </w:p>
    <w:p w14:paraId="388F0711" w14:textId="5F6DC52C" w:rsidR="0003123D" w:rsidRPr="0003123D" w:rsidRDefault="0003123D" w:rsidP="0003123D">
      <w:pPr>
        <w:rPr>
          <w:b/>
          <w:bCs/>
        </w:rPr>
      </w:pPr>
    </w:p>
    <w:p w14:paraId="620EEFD0" w14:textId="17BB2046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8. SEND Reform Plan Update </w:t>
      </w:r>
    </w:p>
    <w:p w14:paraId="5D151EC3" w14:textId="77777777" w:rsidR="0003123D" w:rsidRPr="0003123D" w:rsidRDefault="0003123D" w:rsidP="0003123D">
      <w:r w:rsidRPr="0003123D">
        <w:t>The Board received an overview of:</w:t>
      </w:r>
    </w:p>
    <w:p w14:paraId="0E4A0D83" w14:textId="77777777" w:rsidR="0003123D" w:rsidRPr="0003123D" w:rsidRDefault="0003123D" w:rsidP="009A5238">
      <w:pPr>
        <w:numPr>
          <w:ilvl w:val="0"/>
          <w:numId w:val="16"/>
        </w:numPr>
      </w:pPr>
      <w:r w:rsidRPr="0003123D">
        <w:t>Plan structure.</w:t>
      </w:r>
    </w:p>
    <w:p w14:paraId="49F518EE" w14:textId="77777777" w:rsidR="0003123D" w:rsidRPr="0003123D" w:rsidRDefault="0003123D" w:rsidP="009A5238">
      <w:pPr>
        <w:numPr>
          <w:ilvl w:val="0"/>
          <w:numId w:val="16"/>
        </w:numPr>
      </w:pPr>
      <w:r w:rsidRPr="0003123D">
        <w:t>Tight submission timescales.</w:t>
      </w:r>
    </w:p>
    <w:p w14:paraId="5ACA4118" w14:textId="77777777" w:rsidR="0003123D" w:rsidRPr="0003123D" w:rsidRDefault="0003123D" w:rsidP="009A5238">
      <w:pPr>
        <w:numPr>
          <w:ilvl w:val="0"/>
          <w:numId w:val="16"/>
        </w:numPr>
      </w:pPr>
      <w:r w:rsidRPr="0003123D">
        <w:t>Links to the High Needs Stability Grant.</w:t>
      </w:r>
    </w:p>
    <w:p w14:paraId="1C301F5F" w14:textId="77777777" w:rsidR="0003123D" w:rsidRPr="0003123D" w:rsidRDefault="0003123D" w:rsidP="009A5238">
      <w:pPr>
        <w:numPr>
          <w:ilvl w:val="0"/>
          <w:numId w:val="16"/>
        </w:numPr>
      </w:pPr>
      <w:r w:rsidRPr="0003123D">
        <w:t>Governance implications across the Council and NHS.</w:t>
      </w:r>
    </w:p>
    <w:p w14:paraId="5826D65B" w14:textId="06A71DA7" w:rsidR="003D42C4" w:rsidRDefault="003D42C4" w:rsidP="0003123D">
      <w:r>
        <w:t xml:space="preserve">Although the proposals for the SEND reform changes are </w:t>
      </w:r>
      <w:r w:rsidR="00212A68">
        <w:t xml:space="preserve">still being consulted on, there are clear inclusive deliverables in the </w:t>
      </w:r>
      <w:r w:rsidR="00010DC4">
        <w:t>S</w:t>
      </w:r>
      <w:r w:rsidR="00212A68">
        <w:t xml:space="preserve">chools </w:t>
      </w:r>
      <w:r w:rsidR="00010DC4">
        <w:t>W</w:t>
      </w:r>
      <w:r w:rsidR="00212A68">
        <w:t xml:space="preserve">hite </w:t>
      </w:r>
      <w:r w:rsidR="00010DC4">
        <w:t>P</w:t>
      </w:r>
      <w:r w:rsidR="00212A68">
        <w:t xml:space="preserve">aper </w:t>
      </w:r>
      <w:r w:rsidR="005064C1">
        <w:t xml:space="preserve">‘Every Child Achieving and </w:t>
      </w:r>
      <w:r w:rsidR="005064C1">
        <w:lastRenderedPageBreak/>
        <w:t>Thriving</w:t>
      </w:r>
      <w:r w:rsidR="007904DA">
        <w:t>’ and early funding will be made available to test the ‘Experts at Hand’ model</w:t>
      </w:r>
      <w:r w:rsidR="00E51D6C">
        <w:t xml:space="preserve">.  These, alongside the </w:t>
      </w:r>
      <w:r w:rsidR="00376AFE">
        <w:t xml:space="preserve">introduction of the High Needs Stability Grant, require every local area partnership to </w:t>
      </w:r>
      <w:r w:rsidR="0016670C">
        <w:t>develop and submit a formal Local Area SEND Reform Plan, which shapes the vision and ambition for SEND in Torbay over the coming 3 years.</w:t>
      </w:r>
    </w:p>
    <w:p w14:paraId="6F5913B9" w14:textId="42E9213D" w:rsidR="003D42C4" w:rsidRDefault="00642B3D" w:rsidP="0003123D">
      <w:r>
        <w:t xml:space="preserve">The </w:t>
      </w:r>
      <w:r w:rsidR="00A64251">
        <w:t>final</w:t>
      </w:r>
      <w:r>
        <w:t xml:space="preserve"> plan is to be submitted by the </w:t>
      </w:r>
      <w:r w:rsidR="454B5A45">
        <w:t>19th of</w:t>
      </w:r>
      <w:r>
        <w:t xml:space="preserve"> June, with a </w:t>
      </w:r>
      <w:r w:rsidR="00A64251">
        <w:t xml:space="preserve">draft to be reviewed by external advisers mid-May.  A series of engagement and co-production events </w:t>
      </w:r>
      <w:r w:rsidR="00010DC4">
        <w:t>are being scheduled for April and May</w:t>
      </w:r>
      <w:r w:rsidR="00EF2882">
        <w:t xml:space="preserve">. </w:t>
      </w:r>
    </w:p>
    <w:p w14:paraId="7D303754" w14:textId="2FE5AD59" w:rsidR="0003123D" w:rsidRPr="0003123D" w:rsidRDefault="0003123D" w:rsidP="0003123D">
      <w:r>
        <w:t xml:space="preserve">The Chair proposed an extraordinary Board meeting to focus on vision and </w:t>
      </w:r>
      <w:r w:rsidR="3B859233">
        <w:t>three-year</w:t>
      </w:r>
      <w:r>
        <w:t xml:space="preserve"> strategy.</w:t>
      </w:r>
    </w:p>
    <w:p w14:paraId="0B1A1BEA" w14:textId="575C93F9" w:rsidR="0003123D" w:rsidRPr="0003123D" w:rsidRDefault="0003123D" w:rsidP="0003123D">
      <w:pPr>
        <w:rPr>
          <w:b/>
          <w:bCs/>
        </w:rPr>
      </w:pPr>
    </w:p>
    <w:p w14:paraId="03AD9CC7" w14:textId="6B735BB9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 xml:space="preserve">9. SEND Maturity Matrix </w:t>
      </w:r>
    </w:p>
    <w:p w14:paraId="3E9F2FAD" w14:textId="41A16EA6" w:rsidR="0003123D" w:rsidRPr="0003123D" w:rsidRDefault="004C63EC" w:rsidP="0003123D">
      <w:r>
        <w:t>The</w:t>
      </w:r>
      <w:r w:rsidR="0003123D">
        <w:t xml:space="preserve"> </w:t>
      </w:r>
      <w:r w:rsidR="58127FBC">
        <w:t xml:space="preserve">seven </w:t>
      </w:r>
      <w:proofErr w:type="gramStart"/>
      <w:r w:rsidR="58127FBC">
        <w:t>pillar</w:t>
      </w:r>
      <w:proofErr w:type="gramEnd"/>
      <w:r w:rsidR="0003123D">
        <w:t xml:space="preserve"> SEND Maturity Matrix</w:t>
      </w:r>
      <w:r w:rsidR="008943BA">
        <w:t>, which has been discussed and completed by a range of different partners</w:t>
      </w:r>
      <w:r>
        <w:t>, was presented to the board</w:t>
      </w:r>
      <w:r w:rsidR="008943BA">
        <w:t xml:space="preserve">.  </w:t>
      </w:r>
      <w:r w:rsidR="00721FB2">
        <w:t xml:space="preserve">The matrix is a self-assessment of where the partnership currently rates themselves </w:t>
      </w:r>
      <w:r w:rsidR="001D3C0D">
        <w:t xml:space="preserve">through a ‘best fit’ approach.  Evidence has been provided to support the judgement and any gaps </w:t>
      </w:r>
      <w:r w:rsidR="00B60DD5">
        <w:t xml:space="preserve">in a category will be addressed through the Local Area SEND Reform Plan. </w:t>
      </w:r>
    </w:p>
    <w:p w14:paraId="5D9AE5E1" w14:textId="254A6085" w:rsidR="00B60DD5" w:rsidRPr="0003123D" w:rsidRDefault="00B60DD5" w:rsidP="0003123D">
      <w:r>
        <w:t xml:space="preserve">Members of the board thanked all those who </w:t>
      </w:r>
      <w:r w:rsidR="0055563C">
        <w:t xml:space="preserve">had led and contributed to the document and praised the quick turnaround. </w:t>
      </w:r>
    </w:p>
    <w:p w14:paraId="7BF4D629" w14:textId="77777777" w:rsidR="0003123D" w:rsidRPr="0003123D" w:rsidRDefault="0003123D" w:rsidP="0003123D">
      <w:r w:rsidRPr="0003123D">
        <w:t>The Board agreed:</w:t>
      </w:r>
    </w:p>
    <w:p w14:paraId="7AC8ECAF" w14:textId="4941A905" w:rsidR="0003123D" w:rsidRPr="0003123D" w:rsidRDefault="0003123D" w:rsidP="009A5238">
      <w:pPr>
        <w:numPr>
          <w:ilvl w:val="0"/>
          <w:numId w:val="17"/>
        </w:numPr>
      </w:pPr>
      <w:r>
        <w:t xml:space="preserve">The assessment is </w:t>
      </w:r>
      <w:r w:rsidR="00A2C485">
        <w:t>evidence based</w:t>
      </w:r>
      <w:r>
        <w:t xml:space="preserve"> and realistic.</w:t>
      </w:r>
    </w:p>
    <w:p w14:paraId="092CF747" w14:textId="77777777" w:rsidR="0003123D" w:rsidRPr="0003123D" w:rsidRDefault="0003123D" w:rsidP="009A5238">
      <w:pPr>
        <w:numPr>
          <w:ilvl w:val="0"/>
          <w:numId w:val="17"/>
        </w:numPr>
      </w:pPr>
      <w:r w:rsidRPr="0003123D">
        <w:t>It provides a sound foundation for the SEND Reform Plan.</w:t>
      </w:r>
    </w:p>
    <w:p w14:paraId="1D172275" w14:textId="77777777" w:rsidR="0003123D" w:rsidRPr="0003123D" w:rsidRDefault="0003123D" w:rsidP="0003123D">
      <w:r w:rsidRPr="0003123D">
        <w:t>Decision</w:t>
      </w:r>
    </w:p>
    <w:p w14:paraId="1B9196CE" w14:textId="77777777" w:rsidR="0003123D" w:rsidRPr="0003123D" w:rsidRDefault="0003123D" w:rsidP="009A5238">
      <w:pPr>
        <w:numPr>
          <w:ilvl w:val="0"/>
          <w:numId w:val="18"/>
        </w:numPr>
      </w:pPr>
      <w:r w:rsidRPr="0003123D">
        <w:t>Matrix approved.</w:t>
      </w:r>
    </w:p>
    <w:p w14:paraId="4350FEAD" w14:textId="5515AE82" w:rsidR="0003123D" w:rsidRPr="0003123D" w:rsidRDefault="0003123D" w:rsidP="0003123D">
      <w:pPr>
        <w:rPr>
          <w:b/>
          <w:bCs/>
        </w:rPr>
      </w:pPr>
    </w:p>
    <w:p w14:paraId="15470DDA" w14:textId="77777777" w:rsidR="0003123D" w:rsidRPr="0003123D" w:rsidRDefault="0003123D" w:rsidP="0003123D">
      <w:pPr>
        <w:rPr>
          <w:b/>
          <w:bCs/>
        </w:rPr>
      </w:pPr>
      <w:r w:rsidRPr="0003123D">
        <w:rPr>
          <w:b/>
          <w:bCs/>
        </w:rPr>
        <w:t>10. Any Other Business</w:t>
      </w:r>
    </w:p>
    <w:p w14:paraId="61EB1BA4" w14:textId="77777777" w:rsidR="0003123D" w:rsidRPr="0003123D" w:rsidRDefault="0003123D" w:rsidP="0003123D">
      <w:r w:rsidRPr="0003123D">
        <w:t>SENDIAS Governance</w:t>
      </w:r>
    </w:p>
    <w:p w14:paraId="13904C4E" w14:textId="77777777" w:rsidR="0003123D" w:rsidRPr="0003123D" w:rsidRDefault="0003123D" w:rsidP="0003123D">
      <w:r w:rsidRPr="0003123D">
        <w:t>The Board noted SENDIAS currently lacks a formal steering group.</w:t>
      </w:r>
    </w:p>
    <w:p w14:paraId="21CC0B21" w14:textId="77777777" w:rsidR="0003123D" w:rsidRPr="0003123D" w:rsidRDefault="0003123D" w:rsidP="0003123D">
      <w:r w:rsidRPr="0003123D">
        <w:t>It was agreed that:</w:t>
      </w:r>
    </w:p>
    <w:p w14:paraId="2BD3ACB5" w14:textId="635A2EBD" w:rsidR="0003123D" w:rsidRPr="0003123D" w:rsidRDefault="0003123D" w:rsidP="009A5238">
      <w:pPr>
        <w:numPr>
          <w:ilvl w:val="0"/>
          <w:numId w:val="19"/>
        </w:numPr>
      </w:pPr>
      <w:r>
        <w:t xml:space="preserve">Oversight will sit with the Data and QA </w:t>
      </w:r>
      <w:r w:rsidR="3D579F8A">
        <w:t>Subgroup</w:t>
      </w:r>
      <w:r>
        <w:t xml:space="preserve"> on a quarterly basis.</w:t>
      </w:r>
    </w:p>
    <w:p w14:paraId="72956CAC" w14:textId="77777777" w:rsidR="0003123D" w:rsidRPr="0003123D" w:rsidRDefault="0003123D" w:rsidP="009A5238">
      <w:pPr>
        <w:numPr>
          <w:ilvl w:val="0"/>
          <w:numId w:val="19"/>
        </w:numPr>
      </w:pPr>
      <w:r w:rsidRPr="0003123D">
        <w:t>Parent and education representation will be included.</w:t>
      </w:r>
    </w:p>
    <w:p w14:paraId="7F117492" w14:textId="09D9B05E" w:rsidR="00FA17E2" w:rsidRPr="008821D2" w:rsidRDefault="00000000" w:rsidP="008821D2">
      <w:pPr>
        <w:rPr>
          <w:b/>
          <w:bCs/>
        </w:rPr>
      </w:pPr>
      <w:r>
        <w:rPr>
          <w:b/>
          <w:bCs/>
        </w:rPr>
        <w:pict w14:anchorId="0366FD89">
          <v:rect id="_x0000_i1028" style="width:0;height:1.5pt" o:hralign="center" o:hrstd="t" o:hr="t" fillcolor="#a0a0a0" stroked="f"/>
        </w:pict>
      </w:r>
    </w:p>
    <w:sectPr w:rsidR="00FA17E2" w:rsidRPr="008821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75B"/>
    <w:multiLevelType w:val="multilevel"/>
    <w:tmpl w:val="0D2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A3B8A"/>
    <w:multiLevelType w:val="multilevel"/>
    <w:tmpl w:val="CA1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034BFD"/>
    <w:multiLevelType w:val="multilevel"/>
    <w:tmpl w:val="DB38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207F5F"/>
    <w:multiLevelType w:val="multilevel"/>
    <w:tmpl w:val="6052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81112"/>
    <w:multiLevelType w:val="multilevel"/>
    <w:tmpl w:val="2E6A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B4D88"/>
    <w:multiLevelType w:val="multilevel"/>
    <w:tmpl w:val="4ED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F35B7"/>
    <w:multiLevelType w:val="hybridMultilevel"/>
    <w:tmpl w:val="D82CB8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C5991"/>
    <w:multiLevelType w:val="multilevel"/>
    <w:tmpl w:val="B398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6F0722"/>
    <w:multiLevelType w:val="multilevel"/>
    <w:tmpl w:val="CB4A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8E090B"/>
    <w:multiLevelType w:val="multilevel"/>
    <w:tmpl w:val="1C38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30610"/>
    <w:multiLevelType w:val="multilevel"/>
    <w:tmpl w:val="8A5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FD7ED4"/>
    <w:multiLevelType w:val="multilevel"/>
    <w:tmpl w:val="BE4C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400D6"/>
    <w:multiLevelType w:val="multilevel"/>
    <w:tmpl w:val="A432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D2042"/>
    <w:multiLevelType w:val="multilevel"/>
    <w:tmpl w:val="78D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2A315E"/>
    <w:multiLevelType w:val="multilevel"/>
    <w:tmpl w:val="3698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21E03"/>
    <w:multiLevelType w:val="hybridMultilevel"/>
    <w:tmpl w:val="291A0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8325A"/>
    <w:multiLevelType w:val="multilevel"/>
    <w:tmpl w:val="B4A0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539BD"/>
    <w:multiLevelType w:val="multilevel"/>
    <w:tmpl w:val="855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D16D1C"/>
    <w:multiLevelType w:val="multilevel"/>
    <w:tmpl w:val="10C8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5B1F"/>
    <w:multiLevelType w:val="multilevel"/>
    <w:tmpl w:val="20C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F551C"/>
    <w:multiLevelType w:val="multilevel"/>
    <w:tmpl w:val="B7C0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CA66517"/>
    <w:multiLevelType w:val="multilevel"/>
    <w:tmpl w:val="8A52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A95C04"/>
    <w:multiLevelType w:val="hybridMultilevel"/>
    <w:tmpl w:val="87B4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F7DE2"/>
    <w:multiLevelType w:val="multilevel"/>
    <w:tmpl w:val="379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84745F"/>
    <w:multiLevelType w:val="multilevel"/>
    <w:tmpl w:val="70C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3213F4"/>
    <w:multiLevelType w:val="multilevel"/>
    <w:tmpl w:val="6700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0512F"/>
    <w:multiLevelType w:val="multilevel"/>
    <w:tmpl w:val="8E1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A226E7"/>
    <w:multiLevelType w:val="multilevel"/>
    <w:tmpl w:val="3D34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042B02"/>
    <w:multiLevelType w:val="multilevel"/>
    <w:tmpl w:val="424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326933"/>
    <w:multiLevelType w:val="multilevel"/>
    <w:tmpl w:val="49B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1013CC"/>
    <w:multiLevelType w:val="multilevel"/>
    <w:tmpl w:val="6852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BA049D"/>
    <w:multiLevelType w:val="multilevel"/>
    <w:tmpl w:val="39BC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D213F3"/>
    <w:multiLevelType w:val="multilevel"/>
    <w:tmpl w:val="076A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40366F"/>
    <w:multiLevelType w:val="multilevel"/>
    <w:tmpl w:val="E60C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4C8064D"/>
    <w:multiLevelType w:val="multilevel"/>
    <w:tmpl w:val="E68C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971C5"/>
    <w:multiLevelType w:val="multilevel"/>
    <w:tmpl w:val="C9DC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A74CD0"/>
    <w:multiLevelType w:val="hybridMultilevel"/>
    <w:tmpl w:val="0030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927CF"/>
    <w:multiLevelType w:val="multilevel"/>
    <w:tmpl w:val="EFCAC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D50DF5"/>
    <w:multiLevelType w:val="multilevel"/>
    <w:tmpl w:val="6AE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D04A7"/>
    <w:multiLevelType w:val="multilevel"/>
    <w:tmpl w:val="34D2B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F1477FF"/>
    <w:multiLevelType w:val="multilevel"/>
    <w:tmpl w:val="814E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055465">
    <w:abstractNumId w:val="18"/>
  </w:num>
  <w:num w:numId="2" w16cid:durableId="713651024">
    <w:abstractNumId w:val="3"/>
  </w:num>
  <w:num w:numId="3" w16cid:durableId="685835438">
    <w:abstractNumId w:val="4"/>
  </w:num>
  <w:num w:numId="4" w16cid:durableId="75784831">
    <w:abstractNumId w:val="12"/>
  </w:num>
  <w:num w:numId="5" w16cid:durableId="852035958">
    <w:abstractNumId w:val="29"/>
  </w:num>
  <w:num w:numId="6" w16cid:durableId="1971864911">
    <w:abstractNumId w:val="34"/>
  </w:num>
  <w:num w:numId="7" w16cid:durableId="606935317">
    <w:abstractNumId w:val="7"/>
  </w:num>
  <w:num w:numId="8" w16cid:durableId="811293370">
    <w:abstractNumId w:val="37"/>
  </w:num>
  <w:num w:numId="9" w16cid:durableId="81875711">
    <w:abstractNumId w:val="17"/>
  </w:num>
  <w:num w:numId="10" w16cid:durableId="65961617">
    <w:abstractNumId w:val="11"/>
  </w:num>
  <w:num w:numId="11" w16cid:durableId="1797944985">
    <w:abstractNumId w:val="26"/>
  </w:num>
  <w:num w:numId="12" w16cid:durableId="1030230414">
    <w:abstractNumId w:val="14"/>
  </w:num>
  <w:num w:numId="13" w16cid:durableId="1900632274">
    <w:abstractNumId w:val="13"/>
  </w:num>
  <w:num w:numId="14" w16cid:durableId="1273394154">
    <w:abstractNumId w:val="10"/>
  </w:num>
  <w:num w:numId="15" w16cid:durableId="1523013738">
    <w:abstractNumId w:val="38"/>
  </w:num>
  <w:num w:numId="16" w16cid:durableId="1593662505">
    <w:abstractNumId w:val="19"/>
  </w:num>
  <w:num w:numId="17" w16cid:durableId="547886496">
    <w:abstractNumId w:val="9"/>
  </w:num>
  <w:num w:numId="18" w16cid:durableId="1366633727">
    <w:abstractNumId w:val="32"/>
  </w:num>
  <w:num w:numId="19" w16cid:durableId="1400517444">
    <w:abstractNumId w:val="35"/>
  </w:num>
  <w:num w:numId="20" w16cid:durableId="1006857493">
    <w:abstractNumId w:val="27"/>
  </w:num>
  <w:num w:numId="21" w16cid:durableId="1297835619">
    <w:abstractNumId w:val="22"/>
  </w:num>
  <w:num w:numId="22" w16cid:durableId="1420447448">
    <w:abstractNumId w:val="28"/>
  </w:num>
  <w:num w:numId="23" w16cid:durableId="1785150053">
    <w:abstractNumId w:val="40"/>
  </w:num>
  <w:num w:numId="24" w16cid:durableId="1410692814">
    <w:abstractNumId w:val="25"/>
  </w:num>
  <w:num w:numId="25" w16cid:durableId="1408765271">
    <w:abstractNumId w:val="24"/>
  </w:num>
  <w:num w:numId="26" w16cid:durableId="1117027593">
    <w:abstractNumId w:val="0"/>
  </w:num>
  <w:num w:numId="27" w16cid:durableId="1751193866">
    <w:abstractNumId w:val="16"/>
  </w:num>
  <w:num w:numId="28" w16cid:durableId="1808743305">
    <w:abstractNumId w:val="21"/>
  </w:num>
  <w:num w:numId="29" w16cid:durableId="296690622">
    <w:abstractNumId w:val="30"/>
  </w:num>
  <w:num w:numId="30" w16cid:durableId="1745296165">
    <w:abstractNumId w:val="33"/>
  </w:num>
  <w:num w:numId="31" w16cid:durableId="1135101038">
    <w:abstractNumId w:val="5"/>
  </w:num>
  <w:num w:numId="32" w16cid:durableId="60563734">
    <w:abstractNumId w:val="39"/>
  </w:num>
  <w:num w:numId="33" w16cid:durableId="978072930">
    <w:abstractNumId w:val="20"/>
  </w:num>
  <w:num w:numId="34" w16cid:durableId="96681199">
    <w:abstractNumId w:val="8"/>
  </w:num>
  <w:num w:numId="35" w16cid:durableId="1916743722">
    <w:abstractNumId w:val="31"/>
  </w:num>
  <w:num w:numId="36" w16cid:durableId="464003802">
    <w:abstractNumId w:val="2"/>
  </w:num>
  <w:num w:numId="37" w16cid:durableId="1410929924">
    <w:abstractNumId w:val="23"/>
  </w:num>
  <w:num w:numId="38" w16cid:durableId="1852602634">
    <w:abstractNumId w:val="1"/>
  </w:num>
  <w:num w:numId="39" w16cid:durableId="2028746249">
    <w:abstractNumId w:val="15"/>
  </w:num>
  <w:num w:numId="40" w16cid:durableId="388504387">
    <w:abstractNumId w:val="6"/>
  </w:num>
  <w:num w:numId="41" w16cid:durableId="565191474">
    <w:abstractNumId w:val="3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96DD89"/>
    <w:rsid w:val="000007D7"/>
    <w:rsid w:val="00003481"/>
    <w:rsid w:val="00010DC4"/>
    <w:rsid w:val="0002116E"/>
    <w:rsid w:val="00026A91"/>
    <w:rsid w:val="0003123D"/>
    <w:rsid w:val="00031F23"/>
    <w:rsid w:val="00035D04"/>
    <w:rsid w:val="00042CE2"/>
    <w:rsid w:val="000459B4"/>
    <w:rsid w:val="00045E38"/>
    <w:rsid w:val="00056D7C"/>
    <w:rsid w:val="00086634"/>
    <w:rsid w:val="0009618F"/>
    <w:rsid w:val="000E3BFD"/>
    <w:rsid w:val="00112A3E"/>
    <w:rsid w:val="00115361"/>
    <w:rsid w:val="00115941"/>
    <w:rsid w:val="00134745"/>
    <w:rsid w:val="00146CF3"/>
    <w:rsid w:val="001643AA"/>
    <w:rsid w:val="0016670C"/>
    <w:rsid w:val="00171051"/>
    <w:rsid w:val="00175E23"/>
    <w:rsid w:val="00185550"/>
    <w:rsid w:val="00187989"/>
    <w:rsid w:val="00193B62"/>
    <w:rsid w:val="001B42C0"/>
    <w:rsid w:val="001B7AA2"/>
    <w:rsid w:val="001D3C0D"/>
    <w:rsid w:val="001D7843"/>
    <w:rsid w:val="001E1770"/>
    <w:rsid w:val="00211334"/>
    <w:rsid w:val="00212A68"/>
    <w:rsid w:val="00216624"/>
    <w:rsid w:val="0024329A"/>
    <w:rsid w:val="00245B2C"/>
    <w:rsid w:val="00250661"/>
    <w:rsid w:val="00265E1D"/>
    <w:rsid w:val="00265F80"/>
    <w:rsid w:val="002705F4"/>
    <w:rsid w:val="00273C7F"/>
    <w:rsid w:val="00282BFB"/>
    <w:rsid w:val="00287170"/>
    <w:rsid w:val="00292D8D"/>
    <w:rsid w:val="002A1725"/>
    <w:rsid w:val="002A72F7"/>
    <w:rsid w:val="002B7519"/>
    <w:rsid w:val="002C1FD6"/>
    <w:rsid w:val="002C2071"/>
    <w:rsid w:val="002C4BBA"/>
    <w:rsid w:val="002D46EE"/>
    <w:rsid w:val="002D7D51"/>
    <w:rsid w:val="002E0021"/>
    <w:rsid w:val="002E0A68"/>
    <w:rsid w:val="002E638B"/>
    <w:rsid w:val="002F79D1"/>
    <w:rsid w:val="00311F1B"/>
    <w:rsid w:val="003140C2"/>
    <w:rsid w:val="00315E54"/>
    <w:rsid w:val="00316D90"/>
    <w:rsid w:val="0032098B"/>
    <w:rsid w:val="003313E5"/>
    <w:rsid w:val="003434DD"/>
    <w:rsid w:val="003532F5"/>
    <w:rsid w:val="00357291"/>
    <w:rsid w:val="0036046C"/>
    <w:rsid w:val="00367B7C"/>
    <w:rsid w:val="00372D9B"/>
    <w:rsid w:val="00375554"/>
    <w:rsid w:val="00376AFE"/>
    <w:rsid w:val="00381DDF"/>
    <w:rsid w:val="0038205E"/>
    <w:rsid w:val="00392F61"/>
    <w:rsid w:val="003B43B9"/>
    <w:rsid w:val="003B65A4"/>
    <w:rsid w:val="003C2A25"/>
    <w:rsid w:val="003D42C4"/>
    <w:rsid w:val="003E313B"/>
    <w:rsid w:val="003F47A0"/>
    <w:rsid w:val="00406B30"/>
    <w:rsid w:val="00407554"/>
    <w:rsid w:val="004134CA"/>
    <w:rsid w:val="0042267E"/>
    <w:rsid w:val="0042644F"/>
    <w:rsid w:val="00432AFA"/>
    <w:rsid w:val="00453D21"/>
    <w:rsid w:val="00457D90"/>
    <w:rsid w:val="00462F78"/>
    <w:rsid w:val="00474B7F"/>
    <w:rsid w:val="00482171"/>
    <w:rsid w:val="004857A3"/>
    <w:rsid w:val="004A6839"/>
    <w:rsid w:val="004B61BC"/>
    <w:rsid w:val="004C63EC"/>
    <w:rsid w:val="004E6C45"/>
    <w:rsid w:val="005064C1"/>
    <w:rsid w:val="00507596"/>
    <w:rsid w:val="00512CB6"/>
    <w:rsid w:val="005201B9"/>
    <w:rsid w:val="00530FEA"/>
    <w:rsid w:val="0053426B"/>
    <w:rsid w:val="00535F33"/>
    <w:rsid w:val="005370EF"/>
    <w:rsid w:val="00537C63"/>
    <w:rsid w:val="00545FF8"/>
    <w:rsid w:val="005473CC"/>
    <w:rsid w:val="0055424D"/>
    <w:rsid w:val="0055563C"/>
    <w:rsid w:val="00555A77"/>
    <w:rsid w:val="005706C3"/>
    <w:rsid w:val="00570A77"/>
    <w:rsid w:val="00585E98"/>
    <w:rsid w:val="00593397"/>
    <w:rsid w:val="005B21ED"/>
    <w:rsid w:val="005D33D0"/>
    <w:rsid w:val="005E7C86"/>
    <w:rsid w:val="005F566B"/>
    <w:rsid w:val="00602E61"/>
    <w:rsid w:val="0063123B"/>
    <w:rsid w:val="006335E5"/>
    <w:rsid w:val="00635E21"/>
    <w:rsid w:val="00636CBC"/>
    <w:rsid w:val="00642B3D"/>
    <w:rsid w:val="00652C85"/>
    <w:rsid w:val="006550FE"/>
    <w:rsid w:val="00666BC9"/>
    <w:rsid w:val="00670386"/>
    <w:rsid w:val="006817DD"/>
    <w:rsid w:val="00682628"/>
    <w:rsid w:val="00693ED6"/>
    <w:rsid w:val="006967FA"/>
    <w:rsid w:val="006A2ECA"/>
    <w:rsid w:val="006A5029"/>
    <w:rsid w:val="006A796B"/>
    <w:rsid w:val="006B2963"/>
    <w:rsid w:val="006B2976"/>
    <w:rsid w:val="006B64E9"/>
    <w:rsid w:val="006D35E5"/>
    <w:rsid w:val="006D67D5"/>
    <w:rsid w:val="006F62BD"/>
    <w:rsid w:val="00705183"/>
    <w:rsid w:val="00714964"/>
    <w:rsid w:val="00720B95"/>
    <w:rsid w:val="00721FB2"/>
    <w:rsid w:val="007252E8"/>
    <w:rsid w:val="00727469"/>
    <w:rsid w:val="0075781A"/>
    <w:rsid w:val="00765974"/>
    <w:rsid w:val="00767B3C"/>
    <w:rsid w:val="007705C7"/>
    <w:rsid w:val="00787472"/>
    <w:rsid w:val="007904DA"/>
    <w:rsid w:val="007A1046"/>
    <w:rsid w:val="007A39D1"/>
    <w:rsid w:val="007A6B29"/>
    <w:rsid w:val="007A75A8"/>
    <w:rsid w:val="007D5044"/>
    <w:rsid w:val="007D5517"/>
    <w:rsid w:val="007E118D"/>
    <w:rsid w:val="007F2D6B"/>
    <w:rsid w:val="007F7EE4"/>
    <w:rsid w:val="00806AAC"/>
    <w:rsid w:val="00806F7F"/>
    <w:rsid w:val="0081511F"/>
    <w:rsid w:val="00817421"/>
    <w:rsid w:val="00850032"/>
    <w:rsid w:val="008635EB"/>
    <w:rsid w:val="0087106A"/>
    <w:rsid w:val="008821D2"/>
    <w:rsid w:val="00890001"/>
    <w:rsid w:val="00892B8C"/>
    <w:rsid w:val="008943BA"/>
    <w:rsid w:val="0089660F"/>
    <w:rsid w:val="008A1AAE"/>
    <w:rsid w:val="008B1AD4"/>
    <w:rsid w:val="008B2E10"/>
    <w:rsid w:val="008B38E8"/>
    <w:rsid w:val="008B77DA"/>
    <w:rsid w:val="008F6237"/>
    <w:rsid w:val="00913A2C"/>
    <w:rsid w:val="0091422B"/>
    <w:rsid w:val="0091466F"/>
    <w:rsid w:val="00917F37"/>
    <w:rsid w:val="00921E80"/>
    <w:rsid w:val="009243AF"/>
    <w:rsid w:val="009356D0"/>
    <w:rsid w:val="0093648A"/>
    <w:rsid w:val="0094442A"/>
    <w:rsid w:val="00946E5E"/>
    <w:rsid w:val="009531CE"/>
    <w:rsid w:val="00961118"/>
    <w:rsid w:val="00967E51"/>
    <w:rsid w:val="00970596"/>
    <w:rsid w:val="009A5238"/>
    <w:rsid w:val="009B50F7"/>
    <w:rsid w:val="009B6398"/>
    <w:rsid w:val="009D687F"/>
    <w:rsid w:val="009E6E01"/>
    <w:rsid w:val="00A0658C"/>
    <w:rsid w:val="00A109D4"/>
    <w:rsid w:val="00A239BA"/>
    <w:rsid w:val="00A27CEA"/>
    <w:rsid w:val="00A2C485"/>
    <w:rsid w:val="00A36BDE"/>
    <w:rsid w:val="00A41D0E"/>
    <w:rsid w:val="00A47848"/>
    <w:rsid w:val="00A641CC"/>
    <w:rsid w:val="00A64251"/>
    <w:rsid w:val="00A6455D"/>
    <w:rsid w:val="00A80513"/>
    <w:rsid w:val="00A86563"/>
    <w:rsid w:val="00AA0076"/>
    <w:rsid w:val="00AB3C43"/>
    <w:rsid w:val="00AC2E2F"/>
    <w:rsid w:val="00AD526D"/>
    <w:rsid w:val="00AD61B7"/>
    <w:rsid w:val="00AD6A71"/>
    <w:rsid w:val="00AD70B3"/>
    <w:rsid w:val="00AE27EB"/>
    <w:rsid w:val="00AE6A1E"/>
    <w:rsid w:val="00B005D6"/>
    <w:rsid w:val="00B12D56"/>
    <w:rsid w:val="00B14E3D"/>
    <w:rsid w:val="00B2287E"/>
    <w:rsid w:val="00B60DD5"/>
    <w:rsid w:val="00B63ED4"/>
    <w:rsid w:val="00B6708F"/>
    <w:rsid w:val="00B71D80"/>
    <w:rsid w:val="00B971AE"/>
    <w:rsid w:val="00BA0AAA"/>
    <w:rsid w:val="00BC6DA5"/>
    <w:rsid w:val="00BD3266"/>
    <w:rsid w:val="00BE43AD"/>
    <w:rsid w:val="00BF2016"/>
    <w:rsid w:val="00BF237B"/>
    <w:rsid w:val="00BF387C"/>
    <w:rsid w:val="00BF4F17"/>
    <w:rsid w:val="00C45CD8"/>
    <w:rsid w:val="00C578F9"/>
    <w:rsid w:val="00C63E20"/>
    <w:rsid w:val="00C74179"/>
    <w:rsid w:val="00C86CED"/>
    <w:rsid w:val="00C93CC9"/>
    <w:rsid w:val="00C93DCC"/>
    <w:rsid w:val="00C95B92"/>
    <w:rsid w:val="00CB4EFD"/>
    <w:rsid w:val="00CD00A0"/>
    <w:rsid w:val="00CD71F8"/>
    <w:rsid w:val="00CD767B"/>
    <w:rsid w:val="00CE29FD"/>
    <w:rsid w:val="00CF0C4B"/>
    <w:rsid w:val="00CF314D"/>
    <w:rsid w:val="00CF3654"/>
    <w:rsid w:val="00CF39C0"/>
    <w:rsid w:val="00CF489F"/>
    <w:rsid w:val="00D1226E"/>
    <w:rsid w:val="00D25F3E"/>
    <w:rsid w:val="00D269C0"/>
    <w:rsid w:val="00D27B46"/>
    <w:rsid w:val="00D37764"/>
    <w:rsid w:val="00D518FF"/>
    <w:rsid w:val="00D52DBE"/>
    <w:rsid w:val="00D73575"/>
    <w:rsid w:val="00D76048"/>
    <w:rsid w:val="00D82224"/>
    <w:rsid w:val="00DA0F6D"/>
    <w:rsid w:val="00DB5F1D"/>
    <w:rsid w:val="00DC4092"/>
    <w:rsid w:val="00DC585A"/>
    <w:rsid w:val="00DD629B"/>
    <w:rsid w:val="00DE129B"/>
    <w:rsid w:val="00DE53C1"/>
    <w:rsid w:val="00DE55E8"/>
    <w:rsid w:val="00DF2A43"/>
    <w:rsid w:val="00E04823"/>
    <w:rsid w:val="00E1263C"/>
    <w:rsid w:val="00E206C8"/>
    <w:rsid w:val="00E26373"/>
    <w:rsid w:val="00E26C04"/>
    <w:rsid w:val="00E33ECC"/>
    <w:rsid w:val="00E3699B"/>
    <w:rsid w:val="00E51D6C"/>
    <w:rsid w:val="00E74B24"/>
    <w:rsid w:val="00E7599E"/>
    <w:rsid w:val="00EA4136"/>
    <w:rsid w:val="00EB20C0"/>
    <w:rsid w:val="00ED0E67"/>
    <w:rsid w:val="00EE5389"/>
    <w:rsid w:val="00EF0FB8"/>
    <w:rsid w:val="00EF1272"/>
    <w:rsid w:val="00EF2882"/>
    <w:rsid w:val="00F02BB1"/>
    <w:rsid w:val="00F07F4B"/>
    <w:rsid w:val="00F13660"/>
    <w:rsid w:val="00F141DF"/>
    <w:rsid w:val="00F34CC0"/>
    <w:rsid w:val="00F431E1"/>
    <w:rsid w:val="00F67DA7"/>
    <w:rsid w:val="00F71D4D"/>
    <w:rsid w:val="00F80503"/>
    <w:rsid w:val="00F8388E"/>
    <w:rsid w:val="00F864C8"/>
    <w:rsid w:val="00FA17E2"/>
    <w:rsid w:val="00FC3902"/>
    <w:rsid w:val="00FC6B0B"/>
    <w:rsid w:val="00FD2AEE"/>
    <w:rsid w:val="00FE39D2"/>
    <w:rsid w:val="0116D493"/>
    <w:rsid w:val="028DCE8D"/>
    <w:rsid w:val="0355B1DB"/>
    <w:rsid w:val="0559BF54"/>
    <w:rsid w:val="07030449"/>
    <w:rsid w:val="0D986D03"/>
    <w:rsid w:val="13B01DDE"/>
    <w:rsid w:val="1432E386"/>
    <w:rsid w:val="14698F1B"/>
    <w:rsid w:val="1596DD89"/>
    <w:rsid w:val="1679D209"/>
    <w:rsid w:val="17812312"/>
    <w:rsid w:val="1840BB0A"/>
    <w:rsid w:val="18927B92"/>
    <w:rsid w:val="1D65AE95"/>
    <w:rsid w:val="1D9876BC"/>
    <w:rsid w:val="1DA238F4"/>
    <w:rsid w:val="1E36EE54"/>
    <w:rsid w:val="1F425071"/>
    <w:rsid w:val="1F4EF693"/>
    <w:rsid w:val="2134CF3E"/>
    <w:rsid w:val="22410B53"/>
    <w:rsid w:val="256A477A"/>
    <w:rsid w:val="28186B03"/>
    <w:rsid w:val="2A3EEBDA"/>
    <w:rsid w:val="2A791ABE"/>
    <w:rsid w:val="2F35224F"/>
    <w:rsid w:val="30C3706E"/>
    <w:rsid w:val="3310CD8A"/>
    <w:rsid w:val="332BCD4A"/>
    <w:rsid w:val="3630A688"/>
    <w:rsid w:val="36BBB29B"/>
    <w:rsid w:val="36E0C3E0"/>
    <w:rsid w:val="38C3EBA7"/>
    <w:rsid w:val="3B8550E5"/>
    <w:rsid w:val="3B859233"/>
    <w:rsid w:val="3CF85587"/>
    <w:rsid w:val="3D579F8A"/>
    <w:rsid w:val="3DB267BD"/>
    <w:rsid w:val="3F11A3E5"/>
    <w:rsid w:val="3F29E187"/>
    <w:rsid w:val="40C8B68A"/>
    <w:rsid w:val="41D399C6"/>
    <w:rsid w:val="42637028"/>
    <w:rsid w:val="43152C55"/>
    <w:rsid w:val="437B1537"/>
    <w:rsid w:val="44229995"/>
    <w:rsid w:val="454B5A45"/>
    <w:rsid w:val="46C44B51"/>
    <w:rsid w:val="49F55781"/>
    <w:rsid w:val="4C7F6BE7"/>
    <w:rsid w:val="4CD65049"/>
    <w:rsid w:val="50558A34"/>
    <w:rsid w:val="51E16A4E"/>
    <w:rsid w:val="577FA099"/>
    <w:rsid w:val="58127FBC"/>
    <w:rsid w:val="586BF24C"/>
    <w:rsid w:val="5AB60B6C"/>
    <w:rsid w:val="5E0D3C8F"/>
    <w:rsid w:val="5E75D922"/>
    <w:rsid w:val="5EF0BBC0"/>
    <w:rsid w:val="5F5B1181"/>
    <w:rsid w:val="5F658775"/>
    <w:rsid w:val="6018FBFB"/>
    <w:rsid w:val="6286C15F"/>
    <w:rsid w:val="62973CB1"/>
    <w:rsid w:val="62A1D39B"/>
    <w:rsid w:val="6324A436"/>
    <w:rsid w:val="635E00D4"/>
    <w:rsid w:val="666E95EB"/>
    <w:rsid w:val="68826460"/>
    <w:rsid w:val="68D55124"/>
    <w:rsid w:val="6ED87980"/>
    <w:rsid w:val="6EE8D34B"/>
    <w:rsid w:val="6F5B6B00"/>
    <w:rsid w:val="6FD5886A"/>
    <w:rsid w:val="73353AC3"/>
    <w:rsid w:val="76350DE1"/>
    <w:rsid w:val="76B8545A"/>
    <w:rsid w:val="774F1D1D"/>
    <w:rsid w:val="79BA9F6C"/>
    <w:rsid w:val="7D58A2D0"/>
    <w:rsid w:val="7E1305EC"/>
    <w:rsid w:val="7E147272"/>
    <w:rsid w:val="7FDB9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DD89"/>
  <w15:chartTrackingRefBased/>
  <w15:docId w15:val="{55CF680F-12FC-468F-8C5F-E56AA622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1D"/>
    <w:pPr>
      <w:ind w:left="720"/>
      <w:contextualSpacing/>
    </w:pPr>
  </w:style>
  <w:style w:type="paragraph" w:customStyle="1" w:styleId="paragraph">
    <w:name w:val="paragraph"/>
    <w:basedOn w:val="Normal"/>
    <w:rsid w:val="0014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146CF3"/>
  </w:style>
  <w:style w:type="character" w:customStyle="1" w:styleId="scxw66891269">
    <w:name w:val="scxw66891269"/>
    <w:basedOn w:val="DefaultParagraphFont"/>
    <w:rsid w:val="00146CF3"/>
  </w:style>
  <w:style w:type="character" w:customStyle="1" w:styleId="eop">
    <w:name w:val="eop"/>
    <w:basedOn w:val="DefaultParagraphFont"/>
    <w:rsid w:val="0014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CC50DF00E0F4187241CCD45C9D7EE" ma:contentTypeVersion="19" ma:contentTypeDescription="Create a new document." ma:contentTypeScope="" ma:versionID="07efd5992a860dbdb49fa1a0f06ae9e8">
  <xsd:schema xmlns:xsd="http://www.w3.org/2001/XMLSchema" xmlns:xs="http://www.w3.org/2001/XMLSchema" xmlns:p="http://schemas.microsoft.com/office/2006/metadata/properties" xmlns:ns2="bdad7488-f619-4965-8e9d-64f4ffbe2330" xmlns:ns3="cc56300b-4d79-45c8-807a-64e2155c56a0" targetNamespace="http://schemas.microsoft.com/office/2006/metadata/properties" ma:root="true" ma:fieldsID="d74933a133da4032b7ebb921ee55d30b" ns2:_="" ns3:_="">
    <xsd:import namespace="bdad7488-f619-4965-8e9d-64f4ffbe2330"/>
    <xsd:import namespace="cc56300b-4d79-45c8-807a-64e2155c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d7488-f619-4965-8e9d-64f4ffbe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6300b-4d79-45c8-807a-64e2155c5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cc73fe-8e71-409f-bcce-eac2384ee581}" ma:internalName="TaxCatchAll" ma:readOnly="false" ma:showField="CatchAllData" ma:web="cc56300b-4d79-45c8-807a-64e2155c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d7488-f619-4965-8e9d-64f4ffbe2330">
      <Terms xmlns="http://schemas.microsoft.com/office/infopath/2007/PartnerControls"/>
    </lcf76f155ced4ddcb4097134ff3c332f>
    <TaxCatchAll xmlns="cc56300b-4d79-45c8-807a-64e2155c56a0" xsi:nil="true"/>
  </documentManagement>
</p:properties>
</file>

<file path=customXml/itemProps1.xml><?xml version="1.0" encoding="utf-8"?>
<ds:datastoreItem xmlns:ds="http://schemas.openxmlformats.org/officeDocument/2006/customXml" ds:itemID="{9929F4B2-675B-43A2-8201-540A9DD30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d7488-f619-4965-8e9d-64f4ffbe2330"/>
    <ds:schemaRef ds:uri="cc56300b-4d79-45c8-807a-64e2155c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48FAF-C93C-4D09-8B19-EFB867579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0EB0A-C1BD-43A2-946C-D9ED3CF6A578}">
  <ds:schemaRefs>
    <ds:schemaRef ds:uri="http://schemas.microsoft.com/office/2006/metadata/properties"/>
    <ds:schemaRef ds:uri="http://schemas.microsoft.com/office/infopath/2007/PartnerControls"/>
    <ds:schemaRef ds:uri="bdad7488-f619-4965-8e9d-64f4ffbe2330"/>
    <ds:schemaRef ds:uri="cc56300b-4d79-45c8-807a-64e2155c56a0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Willmott, Louise</dc:creator>
  <cp:keywords/>
  <dc:description/>
  <cp:lastModifiedBy>Hurley, Alison</cp:lastModifiedBy>
  <cp:revision>5</cp:revision>
  <dcterms:created xsi:type="dcterms:W3CDTF">2026-05-05T08:50:00Z</dcterms:created>
  <dcterms:modified xsi:type="dcterms:W3CDTF">2026-05-05T08:56:00Z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0x010100965CC50DF00E0F4187241CCD45C9D7EE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_AdHocReviewCycleID">
    <vt:i4>-930930079</vt:i4>
  </property>
  <property fmtid="{D5CDD505-2E9C-101B-9397-08002B2CF9AE}" pid="6" name="_NewReviewCycle">
    <vt:lpwstr/>
  </property>
  <property fmtid="{D5CDD505-2E9C-101B-9397-08002B2CF9AE}" pid="7" name="_EmailSubject">
    <vt:lpwstr>SLAIP blog for Family Hubs website</vt:lpwstr>
  </property>
  <property fmtid="{D5CDD505-2E9C-101B-9397-08002B2CF9AE}" pid="8" name="_AuthorEmail">
    <vt:lpwstr>Louise.Willmott@torbay.gov.uk</vt:lpwstr>
  </property>
  <property fmtid="{D5CDD505-2E9C-101B-9397-08002B2CF9AE}" pid="9" name="_AuthorEmailDisplayName">
    <vt:lpwstr>Willmott, Louise</vt:lpwstr>
  </property>
  <property fmtid="{D5CDD505-2E9C-101B-9397-08002B2CF9AE}" pid="11" name="_PreviousAdHocReviewCycleID">
    <vt:i4>686634950</vt:i4>
  </property>
</Properties>
</file>